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194" w:rsidRPr="005E4704" w:rsidRDefault="00D33194" w:rsidP="00CB3EEC">
      <w:pPr>
        <w:pStyle w:val="Body"/>
        <w:spacing w:line="240" w:lineRule="auto"/>
        <w:rPr>
          <w:lang w:val="cy-GB"/>
        </w:rPr>
      </w:pPr>
    </w:p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252648" w:rsidRPr="005E4704" w:rsidTr="008E6BBD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48" w:rsidRPr="005E4704" w:rsidRDefault="00252648" w:rsidP="008E6BBD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:rsidR="00252648" w:rsidRPr="005E4704" w:rsidRDefault="00252648" w:rsidP="008E6BBD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252648" w:rsidRPr="005E4704" w:rsidRDefault="00252648" w:rsidP="008E6BBD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5E4704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252648" w:rsidRPr="005E4704" w:rsidRDefault="00252648" w:rsidP="008E6BBD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648" w:rsidRPr="005E4704" w:rsidRDefault="00252648" w:rsidP="008E6BBD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5E4704">
              <w:rPr>
                <w:rFonts w:ascii="Microsoft New Tai Lue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3F5348CD" wp14:editId="791CA8DA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648" w:rsidRPr="005E4704" w:rsidRDefault="00252648" w:rsidP="00252648">
      <w:pPr>
        <w:rPr>
          <w:b/>
          <w:bCs/>
          <w:sz w:val="48"/>
          <w:szCs w:val="48"/>
          <w:lang w:val="cy-GB"/>
        </w:rPr>
      </w:pPr>
    </w:p>
    <w:p w:rsidR="00252648" w:rsidRPr="005E4704" w:rsidRDefault="00252648" w:rsidP="00252648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:rsidR="00252648" w:rsidRPr="005E4704" w:rsidRDefault="00252648" w:rsidP="00252648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5E4704">
        <w:rPr>
          <w:rFonts w:ascii="Microsoft New Tai Lue" w:hAnsi="Microsoft New Tai Lue" w:cs="Microsoft New Tai Lue"/>
          <w:noProof/>
          <w:color w:val="666666"/>
          <w:lang w:val="cy-GB"/>
        </w:rPr>
        <w:drawing>
          <wp:inline distT="0" distB="0" distL="0" distR="0" wp14:anchorId="5B869EDE" wp14:editId="5689853C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2648" w:rsidRPr="005E4704" w:rsidRDefault="00252648" w:rsidP="00252648">
      <w:pPr>
        <w:pStyle w:val="Heading1"/>
        <w:keepNext w:val="0"/>
        <w:keepLines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:rsidR="00252648" w:rsidRPr="005E4704" w:rsidRDefault="00252648" w:rsidP="00252648">
      <w:pPr>
        <w:rPr>
          <w:b/>
          <w:bCs/>
          <w:sz w:val="72"/>
          <w:szCs w:val="72"/>
          <w:lang w:val="cy-GB"/>
        </w:rPr>
      </w:pPr>
      <w:bookmarkStart w:id="3" w:name="_ewc3hd5kzra5" w:colFirst="0" w:colLast="0"/>
      <w:bookmarkEnd w:id="3"/>
    </w:p>
    <w:p w:rsidR="00252648" w:rsidRPr="005E4704" w:rsidRDefault="00252648" w:rsidP="00252648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252648" w:rsidRPr="005E4704" w:rsidTr="008E6BBD">
        <w:trPr>
          <w:jc w:val="center"/>
        </w:trPr>
        <w:tc>
          <w:tcPr>
            <w:tcW w:w="4508" w:type="dxa"/>
          </w:tcPr>
          <w:p w:rsidR="00252648" w:rsidRPr="005E4704" w:rsidRDefault="005E4704" w:rsidP="008E6BBD">
            <w:pPr>
              <w:jc w:val="center"/>
              <w:rPr>
                <w:rFonts w:cs="Arial"/>
                <w:b/>
                <w:sz w:val="24"/>
                <w:szCs w:val="24"/>
                <w:lang w:val="cy-GB"/>
              </w:rPr>
            </w:pPr>
            <w:r>
              <w:rPr>
                <w:rFonts w:cs="Arial"/>
                <w:b/>
                <w:sz w:val="24"/>
                <w:szCs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:rsidR="00252648" w:rsidRPr="005E4704" w:rsidRDefault="005E4704" w:rsidP="008E6BBD">
            <w:pPr>
              <w:jc w:val="center"/>
              <w:rPr>
                <w:rFonts w:cs="Arial"/>
                <w:b/>
                <w:sz w:val="24"/>
                <w:szCs w:val="24"/>
                <w:lang w:val="cy-GB"/>
              </w:rPr>
            </w:pPr>
            <w:r>
              <w:rPr>
                <w:rFonts w:cs="Arial"/>
                <w:b/>
                <w:sz w:val="24"/>
                <w:szCs w:val="24"/>
                <w:lang w:val="cy-GB"/>
              </w:rPr>
              <w:t>Rhagfyr</w:t>
            </w:r>
            <w:r w:rsidR="00BF2366" w:rsidRPr="005E4704">
              <w:rPr>
                <w:rFonts w:cs="Arial"/>
                <w:b/>
                <w:sz w:val="24"/>
                <w:szCs w:val="24"/>
                <w:lang w:val="cy-GB"/>
              </w:rPr>
              <w:t xml:space="preserve"> 2022</w:t>
            </w:r>
          </w:p>
        </w:tc>
      </w:tr>
      <w:tr w:rsidR="00252648" w:rsidRPr="005E4704" w:rsidTr="008E6BBD">
        <w:trPr>
          <w:jc w:val="center"/>
        </w:trPr>
        <w:tc>
          <w:tcPr>
            <w:tcW w:w="4508" w:type="dxa"/>
          </w:tcPr>
          <w:p w:rsidR="00252648" w:rsidRPr="005E4704" w:rsidRDefault="005E4704" w:rsidP="008E6BBD">
            <w:pPr>
              <w:jc w:val="center"/>
              <w:rPr>
                <w:rFonts w:cs="Arial"/>
                <w:b/>
                <w:sz w:val="24"/>
                <w:szCs w:val="24"/>
                <w:lang w:val="cy-GB"/>
              </w:rPr>
            </w:pPr>
            <w:r>
              <w:rPr>
                <w:rFonts w:cs="Arial"/>
                <w:b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252648" w:rsidRPr="005E4704" w:rsidRDefault="00252648" w:rsidP="008E6BBD">
            <w:pPr>
              <w:jc w:val="center"/>
              <w:rPr>
                <w:rFonts w:cs="Arial"/>
                <w:b/>
                <w:sz w:val="24"/>
                <w:szCs w:val="24"/>
                <w:lang w:val="cy-GB"/>
              </w:rPr>
            </w:pPr>
            <w:r w:rsidRPr="005E4704">
              <w:rPr>
                <w:noProof/>
                <w:lang w:val="cy-GB" w:eastAsia="en-GB"/>
              </w:rPr>
              <w:drawing>
                <wp:inline distT="0" distB="0" distL="0" distR="0" wp14:anchorId="74C93FC9" wp14:editId="67A0FEEC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48" w:rsidRPr="005E4704" w:rsidTr="008E6BBD">
        <w:trPr>
          <w:jc w:val="center"/>
        </w:trPr>
        <w:tc>
          <w:tcPr>
            <w:tcW w:w="4508" w:type="dxa"/>
          </w:tcPr>
          <w:p w:rsidR="00252648" w:rsidRPr="005E4704" w:rsidRDefault="005E4704" w:rsidP="008E6BBD">
            <w:pPr>
              <w:jc w:val="center"/>
              <w:rPr>
                <w:rFonts w:cs="Arial"/>
                <w:b/>
                <w:sz w:val="24"/>
                <w:szCs w:val="24"/>
                <w:lang w:val="cy-GB"/>
              </w:rPr>
            </w:pPr>
            <w:r>
              <w:rPr>
                <w:rFonts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252648" w:rsidRPr="005E4704" w:rsidRDefault="00252648" w:rsidP="008E6BBD">
            <w:pPr>
              <w:jc w:val="center"/>
              <w:rPr>
                <w:rFonts w:cs="Arial"/>
                <w:b/>
                <w:sz w:val="24"/>
                <w:szCs w:val="24"/>
                <w:lang w:val="cy-GB"/>
              </w:rPr>
            </w:pPr>
            <w:r w:rsidRPr="005E4704">
              <w:rPr>
                <w:noProof/>
                <w:lang w:val="cy-GB" w:eastAsia="en-GB"/>
              </w:rPr>
              <w:drawing>
                <wp:inline distT="0" distB="0" distL="0" distR="0" wp14:anchorId="26609C25" wp14:editId="63530D4F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648" w:rsidRPr="005E4704" w:rsidTr="008E6BBD">
        <w:trPr>
          <w:jc w:val="center"/>
        </w:trPr>
        <w:tc>
          <w:tcPr>
            <w:tcW w:w="4508" w:type="dxa"/>
          </w:tcPr>
          <w:p w:rsidR="00252648" w:rsidRPr="005E4704" w:rsidRDefault="005E4704" w:rsidP="008E6BBD">
            <w:pPr>
              <w:jc w:val="center"/>
              <w:rPr>
                <w:rFonts w:cs="Arial"/>
                <w:b/>
                <w:sz w:val="24"/>
                <w:szCs w:val="24"/>
                <w:lang w:val="cy-GB"/>
              </w:rPr>
            </w:pPr>
            <w:r>
              <w:rPr>
                <w:rFonts w:cs="Arial"/>
                <w:b/>
                <w:sz w:val="24"/>
                <w:szCs w:val="24"/>
                <w:lang w:val="cy-GB"/>
              </w:rPr>
              <w:t>Dyddiad Adolygu</w:t>
            </w:r>
            <w:r w:rsidR="00252648" w:rsidRPr="005E4704">
              <w:rPr>
                <w:rFonts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:rsidR="00252648" w:rsidRPr="005E4704" w:rsidRDefault="005E4704" w:rsidP="008E6BBD">
            <w:pPr>
              <w:jc w:val="center"/>
              <w:rPr>
                <w:rFonts w:cs="Arial"/>
                <w:b/>
                <w:sz w:val="24"/>
                <w:szCs w:val="24"/>
                <w:lang w:val="cy-GB"/>
              </w:rPr>
            </w:pPr>
            <w:r>
              <w:rPr>
                <w:rFonts w:cs="Arial"/>
                <w:b/>
                <w:sz w:val="24"/>
                <w:szCs w:val="24"/>
                <w:lang w:val="cy-GB"/>
              </w:rPr>
              <w:t>Rhagfyr</w:t>
            </w:r>
            <w:r w:rsidR="00BF2366" w:rsidRPr="005E4704">
              <w:rPr>
                <w:rFonts w:cs="Arial"/>
                <w:b/>
                <w:sz w:val="24"/>
                <w:szCs w:val="24"/>
                <w:lang w:val="cy-GB"/>
              </w:rPr>
              <w:t xml:space="preserve"> 2024</w:t>
            </w:r>
          </w:p>
        </w:tc>
      </w:tr>
    </w:tbl>
    <w:p w:rsidR="00252648" w:rsidRPr="005E4704" w:rsidRDefault="00252648" w:rsidP="00252648">
      <w:pPr>
        <w:pStyle w:val="NoSpacing"/>
        <w:rPr>
          <w:lang w:val="cy-GB"/>
        </w:rPr>
      </w:pPr>
    </w:p>
    <w:p w:rsidR="00252648" w:rsidRPr="005E4704" w:rsidRDefault="00252648" w:rsidP="00252648">
      <w:pPr>
        <w:pStyle w:val="NoSpacing"/>
        <w:rPr>
          <w:lang w:val="cy-GB"/>
        </w:rPr>
      </w:pPr>
    </w:p>
    <w:p w:rsidR="00252648" w:rsidRPr="005E4704" w:rsidRDefault="00252648" w:rsidP="00F12E2A">
      <w:pPr>
        <w:pBdr>
          <w:bottom w:val="single" w:sz="4" w:space="1" w:color="auto"/>
        </w:pBdr>
        <w:spacing w:line="276" w:lineRule="auto"/>
        <w:rPr>
          <w:rFonts w:cs="Arial"/>
          <w:sz w:val="48"/>
          <w:szCs w:val="48"/>
          <w:lang w:val="cy-GB"/>
        </w:rPr>
      </w:pPr>
    </w:p>
    <w:p w:rsidR="00252648" w:rsidRPr="005E4704" w:rsidRDefault="00252648" w:rsidP="00F12E2A">
      <w:pPr>
        <w:pBdr>
          <w:bottom w:val="single" w:sz="4" w:space="1" w:color="auto"/>
        </w:pBdr>
        <w:spacing w:line="276" w:lineRule="auto"/>
        <w:rPr>
          <w:rFonts w:cs="Arial"/>
          <w:sz w:val="48"/>
          <w:szCs w:val="48"/>
          <w:lang w:val="cy-GB"/>
        </w:rPr>
      </w:pPr>
    </w:p>
    <w:p w:rsidR="00252648" w:rsidRPr="005E4704" w:rsidRDefault="00252648" w:rsidP="00F12E2A">
      <w:pPr>
        <w:pBdr>
          <w:bottom w:val="single" w:sz="4" w:space="1" w:color="auto"/>
        </w:pBdr>
        <w:spacing w:line="276" w:lineRule="auto"/>
        <w:rPr>
          <w:rFonts w:cs="Arial"/>
          <w:sz w:val="48"/>
          <w:szCs w:val="48"/>
          <w:lang w:val="cy-GB"/>
        </w:rPr>
      </w:pPr>
    </w:p>
    <w:p w:rsidR="00252648" w:rsidRPr="005E4704" w:rsidRDefault="00252648" w:rsidP="00F12E2A">
      <w:pPr>
        <w:pBdr>
          <w:bottom w:val="single" w:sz="4" w:space="1" w:color="auto"/>
        </w:pBdr>
        <w:spacing w:line="276" w:lineRule="auto"/>
        <w:rPr>
          <w:rFonts w:cs="Arial"/>
          <w:sz w:val="48"/>
          <w:szCs w:val="48"/>
          <w:lang w:val="cy-GB"/>
        </w:rPr>
      </w:pPr>
    </w:p>
    <w:p w:rsidR="00D33194" w:rsidRPr="005E4704" w:rsidRDefault="005E4704" w:rsidP="00F12E2A">
      <w:pPr>
        <w:pBdr>
          <w:bottom w:val="single" w:sz="4" w:space="1" w:color="auto"/>
        </w:pBdr>
        <w:spacing w:line="276" w:lineRule="auto"/>
        <w:rPr>
          <w:rFonts w:cs="Arial"/>
          <w:sz w:val="48"/>
          <w:szCs w:val="48"/>
          <w:lang w:val="cy-GB"/>
        </w:rPr>
      </w:pPr>
      <w:r>
        <w:rPr>
          <w:rFonts w:cs="Arial"/>
          <w:sz w:val="48"/>
          <w:szCs w:val="48"/>
          <w:lang w:val="cy-GB"/>
        </w:rPr>
        <w:lastRenderedPageBreak/>
        <w:t>Polisi Gwrthdaro Buddiannau</w:t>
      </w:r>
    </w:p>
    <w:p w:rsidR="00D33194" w:rsidRPr="005E4704" w:rsidRDefault="00D33194" w:rsidP="00AC75D9">
      <w:pPr>
        <w:pStyle w:val="Heading10"/>
        <w:rPr>
          <w:lang w:val="cy-GB"/>
        </w:rPr>
      </w:pPr>
      <w:r w:rsidRPr="005E4704">
        <w:rPr>
          <w:lang w:val="cy-GB"/>
        </w:rPr>
        <w:t>P</w:t>
      </w:r>
      <w:r w:rsidR="005E4704">
        <w:rPr>
          <w:lang w:val="cy-GB"/>
        </w:rPr>
        <w:t>wrpas</w:t>
      </w:r>
    </w:p>
    <w:p w:rsidR="00D33194" w:rsidRPr="005E4704" w:rsidRDefault="005E4704" w:rsidP="00F12E2A">
      <w:pPr>
        <w:pStyle w:val="Body"/>
        <w:rPr>
          <w:lang w:val="cy-GB"/>
        </w:rPr>
      </w:pPr>
      <w:r>
        <w:rPr>
          <w:lang w:val="cy-GB"/>
        </w:rPr>
        <w:t>Pwrpas y polisi hwn yw sicrhau</w:t>
      </w:r>
      <w:r w:rsidR="00D33194" w:rsidRPr="005E4704">
        <w:rPr>
          <w:lang w:val="cy-GB"/>
        </w:rPr>
        <w:t xml:space="preserve"> is </w:t>
      </w:r>
      <w:r>
        <w:rPr>
          <w:lang w:val="cy-GB"/>
        </w:rPr>
        <w:t>bod pob gweithiwr cyflogedig yn</w:t>
      </w:r>
      <w:r w:rsidR="00BF2366" w:rsidRPr="005E4704">
        <w:rPr>
          <w:lang w:val="cy-GB"/>
        </w:rPr>
        <w:t xml:space="preserve"> Ysgol Calon Cymru </w:t>
      </w:r>
      <w:r>
        <w:rPr>
          <w:lang w:val="cy-GB"/>
        </w:rPr>
        <w:t>yn canfod, datgelu  rheoli’n effeithiol unrhyw wrthdaro buddiannau gwirioneddol, arfaethedig neu ganfyddadwy er mwyn amddiffyn cywirdeb yr Ysgol a rheoli risg</w:t>
      </w:r>
      <w:r w:rsidR="00D33194" w:rsidRPr="005E4704">
        <w:rPr>
          <w:lang w:val="cy-GB"/>
        </w:rPr>
        <w:t>.</w:t>
      </w:r>
    </w:p>
    <w:p w:rsidR="00D33194" w:rsidRPr="005E4704" w:rsidRDefault="005E4704" w:rsidP="00F12E2A">
      <w:pPr>
        <w:pStyle w:val="Heading10"/>
        <w:rPr>
          <w:lang w:val="cy-GB"/>
        </w:rPr>
      </w:pPr>
      <w:r>
        <w:rPr>
          <w:lang w:val="cy-GB"/>
        </w:rPr>
        <w:t>Amcan</w:t>
      </w:r>
    </w:p>
    <w:p w:rsidR="00D33194" w:rsidRPr="005E4704" w:rsidRDefault="005E4704" w:rsidP="00F12E2A">
      <w:pPr>
        <w:pStyle w:val="Body"/>
        <w:rPr>
          <w:lang w:val="cy-GB"/>
        </w:rPr>
      </w:pPr>
      <w:r>
        <w:rPr>
          <w:lang w:val="cy-GB"/>
        </w:rPr>
        <w:t>Nod yr Ysgol yw sicrhau bod y gweithwyr cyflogedig i gyd yn gwybod am eu rhwymedigaethau i ddatgelu unrhyw wrthdaro buddiannau a all fod ganddynt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a chydymffurfio â’r polisi hwn er mwyn sicrhau eu bod yn rheoli’n effeithiol y gwrthdrawiadau buddiannau hynny fel cynrychiolwyr yr Ysgol</w:t>
      </w:r>
      <w:r w:rsidR="00D33194" w:rsidRPr="005E4704">
        <w:rPr>
          <w:lang w:val="cy-GB"/>
        </w:rPr>
        <w:t>.</w:t>
      </w:r>
    </w:p>
    <w:p w:rsidR="00D33194" w:rsidRPr="005E4704" w:rsidRDefault="005E4704" w:rsidP="00B3663C">
      <w:pPr>
        <w:pStyle w:val="Heading10"/>
        <w:rPr>
          <w:lang w:val="cy-GB"/>
        </w:rPr>
      </w:pPr>
      <w:r>
        <w:rPr>
          <w:lang w:val="cy-GB"/>
        </w:rPr>
        <w:t>Cwmpas y Polisi</w:t>
      </w:r>
    </w:p>
    <w:p w:rsidR="00D33194" w:rsidRPr="005E4704" w:rsidRDefault="005E4704" w:rsidP="00F12E2A">
      <w:pPr>
        <w:pStyle w:val="Body"/>
        <w:rPr>
          <w:lang w:val="cy-GB"/>
        </w:rPr>
      </w:pPr>
      <w:r>
        <w:rPr>
          <w:lang w:val="cy-GB"/>
        </w:rPr>
        <w:t>Mae’r polisi hwn yn berthnasol i bob weithiwr cyflogedig yn yr Ysgol yn cynnwys</w:t>
      </w:r>
      <w:r w:rsidR="00D33194" w:rsidRPr="005E4704">
        <w:rPr>
          <w:lang w:val="cy-GB"/>
        </w:rPr>
        <w:t>:</w:t>
      </w:r>
    </w:p>
    <w:p w:rsidR="00D33194" w:rsidRPr="005E4704" w:rsidRDefault="005E4704" w:rsidP="00B3663C">
      <w:pPr>
        <w:pStyle w:val="List"/>
        <w:rPr>
          <w:lang w:val="cy-GB"/>
        </w:rPr>
      </w:pPr>
      <w:r>
        <w:rPr>
          <w:lang w:val="cy-GB"/>
        </w:rPr>
        <w:t>Pennaeth yr Ysgol</w:t>
      </w:r>
    </w:p>
    <w:p w:rsidR="00D33194" w:rsidRPr="005E4704" w:rsidRDefault="005E4704" w:rsidP="00B3663C">
      <w:pPr>
        <w:pStyle w:val="List"/>
        <w:rPr>
          <w:lang w:val="cy-GB"/>
        </w:rPr>
      </w:pPr>
      <w:r>
        <w:rPr>
          <w:lang w:val="cy-GB"/>
        </w:rPr>
        <w:t>Dirprwy Bennaeth ac eraill mewn rolau arwain</w:t>
      </w:r>
      <w:r w:rsidR="00D33194" w:rsidRPr="005E4704">
        <w:rPr>
          <w:lang w:val="cy-GB"/>
        </w:rPr>
        <w:t xml:space="preserve"> </w:t>
      </w:r>
    </w:p>
    <w:p w:rsidR="00D33194" w:rsidRPr="005E4704" w:rsidRDefault="005E4704" w:rsidP="00B3663C">
      <w:pPr>
        <w:pStyle w:val="List"/>
        <w:rPr>
          <w:lang w:val="cy-GB"/>
        </w:rPr>
      </w:pPr>
      <w:r>
        <w:rPr>
          <w:lang w:val="cy-GB"/>
        </w:rPr>
        <w:t>Rheolwr Busnes</w:t>
      </w:r>
      <w:r w:rsidR="00252648" w:rsidRPr="005E4704">
        <w:rPr>
          <w:lang w:val="cy-GB"/>
        </w:rPr>
        <w:t xml:space="preserve">, </w:t>
      </w:r>
      <w:r>
        <w:rPr>
          <w:lang w:val="cy-GB"/>
        </w:rPr>
        <w:t>Swyddog Cyllid</w:t>
      </w:r>
      <w:r w:rsidR="00D33194" w:rsidRPr="005E4704">
        <w:rPr>
          <w:lang w:val="cy-GB"/>
        </w:rPr>
        <w:t xml:space="preserve"> a staff </w:t>
      </w:r>
      <w:r>
        <w:rPr>
          <w:lang w:val="cy-GB"/>
        </w:rPr>
        <w:t>sydd â chyfrifoldeb ariannol</w:t>
      </w:r>
    </w:p>
    <w:p w:rsidR="00D33194" w:rsidRPr="005E4704" w:rsidRDefault="005E4704" w:rsidP="00B3663C">
      <w:pPr>
        <w:pStyle w:val="List"/>
        <w:rPr>
          <w:lang w:val="cy-GB"/>
        </w:rPr>
      </w:pPr>
      <w:r>
        <w:rPr>
          <w:lang w:val="cy-GB"/>
        </w:rPr>
        <w:t>y</w:t>
      </w:r>
      <w:r w:rsidR="00D33194" w:rsidRPr="005E4704">
        <w:rPr>
          <w:lang w:val="cy-GB"/>
        </w:rPr>
        <w:t xml:space="preserve"> staff</w:t>
      </w:r>
      <w:r>
        <w:rPr>
          <w:lang w:val="cy-GB"/>
        </w:rPr>
        <w:t xml:space="preserve"> addysgu i gyd</w:t>
      </w:r>
    </w:p>
    <w:p w:rsidR="00D33194" w:rsidRPr="005E4704" w:rsidRDefault="00D33194" w:rsidP="00B3663C">
      <w:pPr>
        <w:pStyle w:val="List"/>
        <w:rPr>
          <w:lang w:val="cy-GB"/>
        </w:rPr>
      </w:pPr>
      <w:r w:rsidRPr="005E4704">
        <w:rPr>
          <w:lang w:val="cy-GB"/>
        </w:rPr>
        <w:t>staff</w:t>
      </w:r>
      <w:r w:rsidR="005E4704">
        <w:rPr>
          <w:lang w:val="cy-GB"/>
        </w:rPr>
        <w:t xml:space="preserve"> eraill nad ydynt yn addysgu</w:t>
      </w:r>
      <w:r w:rsidRPr="005E4704">
        <w:rPr>
          <w:lang w:val="cy-GB"/>
        </w:rPr>
        <w:t>.</w:t>
      </w:r>
    </w:p>
    <w:p w:rsidR="00D33194" w:rsidRPr="005E4704" w:rsidRDefault="005E4704" w:rsidP="00AC75D9">
      <w:pPr>
        <w:pStyle w:val="Body"/>
        <w:ind w:right="-285"/>
        <w:rPr>
          <w:lang w:val="cy-GB"/>
        </w:rPr>
      </w:pPr>
      <w:r>
        <w:rPr>
          <w:lang w:val="cy-GB"/>
        </w:rPr>
        <w:t>Mae’r polisi hwn yn ategu at unrhyw rwymedigaeth o wrthdaro buddiannau</w:t>
      </w:r>
      <w:r w:rsidR="003B71FC">
        <w:rPr>
          <w:lang w:val="cy-GB"/>
        </w:rPr>
        <w:t xml:space="preserve"> sy’n codi dan gytundeb cyflogaeth gweithiwr cyflogedig.</w:t>
      </w:r>
      <w:r w:rsidR="00D33194" w:rsidRPr="005E4704">
        <w:rPr>
          <w:lang w:val="cy-GB"/>
        </w:rPr>
        <w:t xml:space="preserve"> </w:t>
      </w:r>
      <w:r w:rsidR="003B71FC">
        <w:rPr>
          <w:lang w:val="cy-GB"/>
        </w:rPr>
        <w:t>Disgwylir y bydd pob gweithiwr cyflogedig yn cymryd rhan lawn mewn datgeliad a rheolaeth gwrthdaro buddiannau</w:t>
      </w:r>
      <w:r w:rsidR="00D33194" w:rsidRPr="005E4704">
        <w:rPr>
          <w:lang w:val="cy-GB"/>
        </w:rPr>
        <w:t xml:space="preserve">. </w:t>
      </w:r>
    </w:p>
    <w:p w:rsidR="00D33194" w:rsidRPr="005E4704" w:rsidRDefault="003B71FC" w:rsidP="00B3663C">
      <w:pPr>
        <w:pStyle w:val="Heading10"/>
        <w:rPr>
          <w:lang w:val="cy-GB"/>
        </w:rPr>
      </w:pPr>
      <w:r>
        <w:rPr>
          <w:lang w:val="cy-GB"/>
        </w:rPr>
        <w:t>Datganiad Polisi</w:t>
      </w:r>
    </w:p>
    <w:p w:rsidR="00D33194" w:rsidRPr="005E4704" w:rsidRDefault="003B71FC" w:rsidP="00F12E2A">
      <w:pPr>
        <w:pStyle w:val="Body"/>
        <w:rPr>
          <w:lang w:val="cy-GB"/>
        </w:rPr>
      </w:pPr>
      <w:r>
        <w:rPr>
          <w:lang w:val="cy-GB"/>
        </w:rPr>
        <w:t xml:space="preserve">Mae </w:t>
      </w:r>
      <w:r w:rsidR="00252648" w:rsidRPr="005E4704">
        <w:rPr>
          <w:lang w:val="cy-GB"/>
        </w:rPr>
        <w:t>Ysgol Calon Cymru</w:t>
      </w:r>
      <w:r w:rsidR="00590F15">
        <w:rPr>
          <w:lang w:val="cy-GB"/>
        </w:rPr>
        <w:t>’n cydnabod pwysigrwydd darparu fframwaith</w:t>
      </w:r>
      <w:r w:rsidR="00CF3ACB">
        <w:rPr>
          <w:lang w:val="cy-GB"/>
        </w:rPr>
        <w:t xml:space="preserve"> er mwyn canfod, datgelu a rheoli gwrthdr</w:t>
      </w:r>
      <w:r w:rsidR="00F45BA4">
        <w:rPr>
          <w:lang w:val="cy-GB"/>
        </w:rPr>
        <w:t>aro</w:t>
      </w:r>
      <w:r w:rsidR="00CF3ACB">
        <w:rPr>
          <w:lang w:val="cy-GB"/>
        </w:rPr>
        <w:t xml:space="preserve"> buddiannau’n briodol</w:t>
      </w:r>
      <w:r w:rsidR="00D33194" w:rsidRPr="005E4704">
        <w:rPr>
          <w:lang w:val="cy-GB"/>
        </w:rPr>
        <w:t>.</w:t>
      </w:r>
    </w:p>
    <w:p w:rsidR="00D33194" w:rsidRPr="005E4704" w:rsidRDefault="00CF3ACB" w:rsidP="00F12E2A">
      <w:pPr>
        <w:pStyle w:val="Body"/>
        <w:rPr>
          <w:lang w:val="cy-GB"/>
        </w:rPr>
      </w:pPr>
      <w:r>
        <w:rPr>
          <w:lang w:val="cy-GB"/>
        </w:rPr>
        <w:t>Mae’r Ysgol wedi ymrwymo i adeiladu gweithle sy’n rhydd o dwyll na llygredd na’r canfyddiad o dwyll neu lygredd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Datblygwyd y polisi hwn am y gall gwrthdra</w:t>
      </w:r>
      <w:r w:rsidR="00F45BA4">
        <w:rPr>
          <w:lang w:val="cy-GB"/>
        </w:rPr>
        <w:t>ro</w:t>
      </w:r>
      <w:r>
        <w:rPr>
          <w:lang w:val="cy-GB"/>
        </w:rPr>
        <w:t xml:space="preserve"> buddiannau godi, a does dim rhaid id</w:t>
      </w:r>
      <w:r w:rsidR="000A4B07">
        <w:rPr>
          <w:lang w:val="cy-GB"/>
        </w:rPr>
        <w:t>dy</w:t>
      </w:r>
      <w:r>
        <w:rPr>
          <w:lang w:val="cy-GB"/>
        </w:rPr>
        <w:t>n</w:t>
      </w:r>
      <w:r w:rsidR="000A4B07">
        <w:rPr>
          <w:lang w:val="cy-GB"/>
        </w:rPr>
        <w:t>t</w:t>
      </w:r>
      <w:r>
        <w:rPr>
          <w:lang w:val="cy-GB"/>
        </w:rPr>
        <w:t xml:space="preserve"> beri</w:t>
      </w:r>
      <w:r w:rsidR="00D33194" w:rsidRPr="005E4704">
        <w:rPr>
          <w:lang w:val="cy-GB"/>
        </w:rPr>
        <w:t xml:space="preserve"> problem </w:t>
      </w:r>
      <w:r>
        <w:rPr>
          <w:lang w:val="cy-GB"/>
        </w:rPr>
        <w:t xml:space="preserve">i </w:t>
      </w:r>
      <w:r w:rsidR="00D33194" w:rsidRPr="005E4704">
        <w:rPr>
          <w:lang w:val="cy-GB"/>
        </w:rPr>
        <w:t xml:space="preserve">staff </w:t>
      </w:r>
      <w:r>
        <w:rPr>
          <w:lang w:val="cy-GB"/>
        </w:rPr>
        <w:t>na’r Ysgol os ydynt yn cael eu rheoli’n agored ac effeithiol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Am y rhesymau hyn mae’n bwysig bod y gweithwyr cyflogedig i gyd yn rhannu cyfrifoldeb dros gryfhau’r ymrwymiad hwn i ganfod, datgelu a rheoli gwrthdrawiadau o fuddiannau yn briodol</w:t>
      </w:r>
      <w:r w:rsidR="00D33194" w:rsidRPr="005E4704">
        <w:rPr>
          <w:lang w:val="cy-GB"/>
        </w:rPr>
        <w:t>.</w:t>
      </w:r>
    </w:p>
    <w:p w:rsidR="00D33194" w:rsidRPr="005E4704" w:rsidRDefault="00CF3ACB" w:rsidP="00F12E2A">
      <w:pPr>
        <w:pStyle w:val="Body"/>
        <w:rPr>
          <w:lang w:val="cy-GB"/>
        </w:rPr>
      </w:pPr>
      <w:r>
        <w:rPr>
          <w:lang w:val="cy-GB"/>
        </w:rPr>
        <w:t xml:space="preserve">Nid yw meddu ar wrthdaro buddiannau o reidrwydd yn </w:t>
      </w:r>
      <w:r w:rsidR="00F45BA4">
        <w:rPr>
          <w:lang w:val="cy-GB"/>
        </w:rPr>
        <w:t>cyfrif fel toriad i’r polisi hwn</w:t>
      </w:r>
      <w:r w:rsidR="00D33194" w:rsidRPr="005E4704">
        <w:rPr>
          <w:lang w:val="cy-GB"/>
        </w:rPr>
        <w:t xml:space="preserve">. </w:t>
      </w:r>
      <w:r w:rsidR="00F45BA4">
        <w:rPr>
          <w:lang w:val="cy-GB"/>
        </w:rPr>
        <w:t>Er hynnny</w:t>
      </w:r>
      <w:r w:rsidR="00D33194" w:rsidRPr="005E4704">
        <w:rPr>
          <w:lang w:val="cy-GB"/>
        </w:rPr>
        <w:t xml:space="preserve">, </w:t>
      </w:r>
      <w:r w:rsidR="00F45BA4">
        <w:rPr>
          <w:lang w:val="cy-GB"/>
        </w:rPr>
        <w:t>gall methu datgelu gwrthdaro buddiannau gyfrif fel toriad</w:t>
      </w:r>
      <w:r w:rsidR="00D33194" w:rsidRPr="005E4704">
        <w:rPr>
          <w:lang w:val="cy-GB"/>
        </w:rPr>
        <w:t>.</w:t>
      </w:r>
    </w:p>
    <w:p w:rsidR="00D33194" w:rsidRPr="005E4704" w:rsidRDefault="00F45BA4" w:rsidP="00F45BA4">
      <w:pPr>
        <w:pStyle w:val="Body"/>
        <w:ind w:right="-1"/>
        <w:rPr>
          <w:lang w:val="cy-GB"/>
        </w:rPr>
      </w:pPr>
      <w:r>
        <w:rPr>
          <w:lang w:val="cy-GB"/>
        </w:rPr>
        <w:t xml:space="preserve">Ac eithrio’r rhwymedigaethau’r polisi hwn, gall fod gan weithwyr cyflogedig rwymedigaethau hefyd sy’n codi yn eu </w:t>
      </w:r>
      <w:r w:rsidR="00D33194" w:rsidRPr="005E4704">
        <w:rPr>
          <w:lang w:val="cy-GB"/>
        </w:rPr>
        <w:t xml:space="preserve">contract </w:t>
      </w:r>
      <w:r>
        <w:rPr>
          <w:lang w:val="cy-GB"/>
        </w:rPr>
        <w:t>cyflogaeth neu ymgymryd â chyflogaeth arall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neu weithgareddau am dâl</w:t>
      </w:r>
    </w:p>
    <w:p w:rsidR="00D33194" w:rsidRPr="005E4704" w:rsidRDefault="00F45BA4" w:rsidP="00801D3B">
      <w:pPr>
        <w:pStyle w:val="List"/>
        <w:ind w:right="-1"/>
        <w:rPr>
          <w:lang w:val="cy-GB"/>
        </w:rPr>
      </w:pPr>
      <w:r>
        <w:rPr>
          <w:lang w:val="cy-GB"/>
        </w:rPr>
        <w:t>datgelu unrhyw gydberthnasau cymdeithasol/teuluol gyda myfyrwyr y tu allan i gyd-destun cydberthynas y myfyriwr/gweithiwr cyflogedig</w:t>
      </w:r>
      <w:r w:rsidR="00D33194" w:rsidRPr="005E4704">
        <w:rPr>
          <w:lang w:val="cy-GB"/>
        </w:rPr>
        <w:t xml:space="preserve"> </w:t>
      </w:r>
    </w:p>
    <w:p w:rsidR="00D33194" w:rsidRPr="005E4704" w:rsidRDefault="00F45BA4" w:rsidP="00801D3B">
      <w:pPr>
        <w:pStyle w:val="List"/>
        <w:ind w:right="-1"/>
        <w:rPr>
          <w:lang w:val="cy-GB"/>
        </w:rPr>
      </w:pPr>
      <w:r>
        <w:rPr>
          <w:lang w:val="cy-GB"/>
        </w:rPr>
        <w:t>datgeliadau diogelwch plant</w:t>
      </w:r>
      <w:r w:rsidR="00D33194" w:rsidRPr="005E4704">
        <w:rPr>
          <w:lang w:val="cy-GB"/>
        </w:rPr>
        <w:t>.</w:t>
      </w:r>
    </w:p>
    <w:p w:rsidR="00D33194" w:rsidRPr="005E4704" w:rsidRDefault="00F45BA4" w:rsidP="00801D3B">
      <w:pPr>
        <w:pStyle w:val="Heading10"/>
        <w:ind w:right="-1"/>
        <w:rPr>
          <w:lang w:val="cy-GB"/>
        </w:rPr>
      </w:pPr>
      <w:r>
        <w:rPr>
          <w:lang w:val="cy-GB"/>
        </w:rPr>
        <w:t>Diffiniad o Wrthdaro Buddiannau</w:t>
      </w:r>
    </w:p>
    <w:p w:rsidR="00D33194" w:rsidRPr="005E4704" w:rsidRDefault="00F45BA4" w:rsidP="00801D3B">
      <w:pPr>
        <w:pStyle w:val="Body"/>
        <w:ind w:right="-1"/>
        <w:rPr>
          <w:lang w:val="cy-GB"/>
        </w:rPr>
      </w:pPr>
      <w:r>
        <w:rPr>
          <w:lang w:val="cy-GB"/>
        </w:rPr>
        <w:t>Ceir gwrthdaro buddiannau pan effeithir ar ddyletswydd gweithiwr cyflogedig i’r Ysgol yn cael ei effeithio gan fudd personol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Mewn achosion fel hyn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gall y llinell rhwng ymddygiad personol a phroffesiynol bylu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ac amharu ar allu gweithiwr cyflogedig i gyflawni ei swydd</w:t>
      </w:r>
      <w:r w:rsidR="00D33194" w:rsidRPr="005E4704">
        <w:rPr>
          <w:lang w:val="cy-GB"/>
        </w:rPr>
        <w:t>.</w:t>
      </w:r>
    </w:p>
    <w:p w:rsidR="00D33194" w:rsidRPr="005E4704" w:rsidRDefault="00204A69" w:rsidP="00801D3B">
      <w:pPr>
        <w:pStyle w:val="Body"/>
        <w:ind w:right="-1"/>
        <w:rPr>
          <w:lang w:val="cy-GB"/>
        </w:rPr>
      </w:pPr>
      <w:r>
        <w:rPr>
          <w:lang w:val="cy-GB"/>
        </w:rPr>
        <w:lastRenderedPageBreak/>
        <w:t>Gall buddion personol fod yn rhai ariannol neu’n anariannol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a gall fod mewn perthynas ag</w:t>
      </w:r>
      <w:r w:rsidR="00D33194" w:rsidRPr="005E4704">
        <w:rPr>
          <w:lang w:val="cy-GB"/>
        </w:rPr>
        <w:t>:</w:t>
      </w:r>
    </w:p>
    <w:p w:rsidR="00D33194" w:rsidRPr="005E4704" w:rsidRDefault="00204A69" w:rsidP="00801D3B">
      <w:pPr>
        <w:pStyle w:val="List"/>
        <w:ind w:right="-1"/>
        <w:rPr>
          <w:lang w:val="cy-GB"/>
        </w:rPr>
      </w:pPr>
      <w:r>
        <w:rPr>
          <w:lang w:val="cy-GB"/>
        </w:rPr>
        <w:t>aelodau’r teulu</w:t>
      </w:r>
    </w:p>
    <w:p w:rsidR="00D33194" w:rsidRPr="005E4704" w:rsidRDefault="00204A69" w:rsidP="00801D3B">
      <w:pPr>
        <w:pStyle w:val="List"/>
        <w:ind w:right="-1"/>
        <w:rPr>
          <w:lang w:val="cy-GB"/>
        </w:rPr>
      </w:pPr>
      <w:r>
        <w:rPr>
          <w:lang w:val="cy-GB"/>
        </w:rPr>
        <w:t>ffrindiau agos</w:t>
      </w:r>
    </w:p>
    <w:p w:rsidR="00D33194" w:rsidRPr="005E4704" w:rsidRDefault="00204A69" w:rsidP="00801D3B">
      <w:pPr>
        <w:pStyle w:val="List"/>
        <w:ind w:right="-1"/>
        <w:rPr>
          <w:lang w:val="cy-GB"/>
        </w:rPr>
      </w:pPr>
      <w:r>
        <w:rPr>
          <w:lang w:val="cy-GB"/>
        </w:rPr>
        <w:t>cymdeithion</w:t>
      </w:r>
      <w:r w:rsidR="00D33194" w:rsidRPr="005E4704">
        <w:rPr>
          <w:lang w:val="cy-GB"/>
        </w:rPr>
        <w:t>.</w:t>
      </w:r>
    </w:p>
    <w:p w:rsidR="00D33194" w:rsidRPr="005E4704" w:rsidRDefault="00204A69" w:rsidP="00801D3B">
      <w:pPr>
        <w:pStyle w:val="Body"/>
        <w:ind w:right="-1"/>
        <w:rPr>
          <w:lang w:val="cy-GB"/>
        </w:rPr>
      </w:pPr>
      <w:r>
        <w:rPr>
          <w:lang w:val="cy-GB"/>
        </w:rPr>
        <w:t>Mae gwrthdaro buddiannau yn gyffredin yn</w:t>
      </w:r>
      <w:r w:rsidR="00D33194" w:rsidRPr="005E4704">
        <w:rPr>
          <w:lang w:val="cy-GB"/>
        </w:rPr>
        <w:t xml:space="preserve"> ‘</w:t>
      </w:r>
      <w:r>
        <w:rPr>
          <w:lang w:val="cy-GB"/>
        </w:rPr>
        <w:t>gadarnhaol</w:t>
      </w:r>
      <w:r w:rsidR="00D33194" w:rsidRPr="005E4704">
        <w:rPr>
          <w:lang w:val="cy-GB"/>
        </w:rPr>
        <w:t>’ (e</w:t>
      </w:r>
      <w:r w:rsidR="00FC1F96" w:rsidRPr="005E4704">
        <w:rPr>
          <w:lang w:val="cy-GB"/>
        </w:rPr>
        <w:t>.</w:t>
      </w:r>
      <w:r>
        <w:rPr>
          <w:lang w:val="cy-GB"/>
        </w:rPr>
        <w:t>e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wedi ei symbylu gan elw ariannol/personol</w:t>
      </w:r>
      <w:r w:rsidR="00D33194" w:rsidRPr="005E4704">
        <w:rPr>
          <w:lang w:val="cy-GB"/>
        </w:rPr>
        <w:t xml:space="preserve">) </w:t>
      </w:r>
      <w:r>
        <w:rPr>
          <w:lang w:val="cy-GB"/>
        </w:rPr>
        <w:t>ond gall hefyd fod yn ‘negyddol’</w:t>
      </w:r>
      <w:r w:rsidR="00D33194" w:rsidRPr="005E4704">
        <w:rPr>
          <w:lang w:val="cy-GB"/>
        </w:rPr>
        <w:t xml:space="preserve"> (e</w:t>
      </w:r>
      <w:r w:rsidR="00FC1F96" w:rsidRPr="005E4704">
        <w:rPr>
          <w:lang w:val="cy-GB"/>
        </w:rPr>
        <w:t>.</w:t>
      </w:r>
      <w:r>
        <w:rPr>
          <w:lang w:val="cy-GB"/>
        </w:rPr>
        <w:t>e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wedi ei symbylu gan newid i berson arall</w:t>
      </w:r>
      <w:r w:rsidR="00D33194" w:rsidRPr="005E4704">
        <w:rPr>
          <w:lang w:val="cy-GB"/>
        </w:rPr>
        <w:t>).</w:t>
      </w:r>
    </w:p>
    <w:p w:rsidR="00D33194" w:rsidRPr="005E4704" w:rsidRDefault="00204A69" w:rsidP="00801D3B">
      <w:pPr>
        <w:pStyle w:val="Body"/>
        <w:ind w:right="-1"/>
        <w:rPr>
          <w:lang w:val="cy-GB"/>
        </w:rPr>
      </w:pPr>
      <w:r>
        <w:rPr>
          <w:lang w:val="cy-GB"/>
        </w:rPr>
        <w:t>Mae’n werth cofio y gall gwrthdaro buddiannau godi heb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fwriadu ‘croesi’r llinell’ rhwng buddion proffesiynol a phersonol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Mewn geiriau eraill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 xml:space="preserve">gall gwrthdaro buddiannau fod yn wirioneddol, ond hefyd gall fod yn </w:t>
      </w:r>
      <w:r>
        <w:rPr>
          <w:b/>
          <w:lang w:val="cy-GB"/>
        </w:rPr>
        <w:t>bosibl</w:t>
      </w:r>
      <w:r w:rsidR="00D33194" w:rsidRPr="005E4704">
        <w:rPr>
          <w:b/>
          <w:lang w:val="cy-GB"/>
        </w:rPr>
        <w:t xml:space="preserve"> </w:t>
      </w:r>
      <w:r>
        <w:rPr>
          <w:lang w:val="cy-GB"/>
        </w:rPr>
        <w:t>neu’n</w:t>
      </w:r>
      <w:r w:rsidR="00D33194" w:rsidRPr="005E4704">
        <w:rPr>
          <w:lang w:val="cy-GB"/>
        </w:rPr>
        <w:t xml:space="preserve"> </w:t>
      </w:r>
      <w:r>
        <w:rPr>
          <w:b/>
          <w:lang w:val="cy-GB"/>
        </w:rPr>
        <w:t>canfyddadwy</w:t>
      </w:r>
      <w:r w:rsidR="00D33194" w:rsidRPr="005E4704">
        <w:rPr>
          <w:lang w:val="cy-GB"/>
        </w:rPr>
        <w:t>.</w:t>
      </w:r>
    </w:p>
    <w:p w:rsidR="00D33194" w:rsidRPr="005E4704" w:rsidRDefault="00204A69" w:rsidP="00801D3B">
      <w:pPr>
        <w:pStyle w:val="List"/>
        <w:ind w:right="-1"/>
        <w:contextualSpacing w:val="0"/>
        <w:rPr>
          <w:lang w:val="cy-GB"/>
        </w:rPr>
      </w:pPr>
      <w:r>
        <w:rPr>
          <w:lang w:val="cy-GB"/>
        </w:rPr>
        <w:t>Gwrthdaro buddiannau</w:t>
      </w:r>
      <w:r w:rsidR="00D33194" w:rsidRPr="005E4704">
        <w:rPr>
          <w:lang w:val="cy-GB"/>
        </w:rPr>
        <w:t xml:space="preserve"> </w:t>
      </w:r>
      <w:r w:rsidR="00D33194" w:rsidRPr="005E4704">
        <w:rPr>
          <w:b/>
          <w:lang w:val="cy-GB"/>
        </w:rPr>
        <w:t>po</w:t>
      </w:r>
      <w:r>
        <w:rPr>
          <w:b/>
          <w:lang w:val="cy-GB"/>
        </w:rPr>
        <w:t>sib</w:t>
      </w:r>
      <w:r w:rsidR="00D33194" w:rsidRPr="005E4704">
        <w:rPr>
          <w:b/>
          <w:lang w:val="cy-GB"/>
        </w:rPr>
        <w:t xml:space="preserve">l </w:t>
      </w:r>
      <w:r>
        <w:rPr>
          <w:lang w:val="cy-GB"/>
        </w:rPr>
        <w:t>yw un y gellir ei ragweld o’r amgylchiadau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ond nad yw eto wedi digwydd mewn gwirionedd</w:t>
      </w:r>
      <w:r w:rsidR="00D33194" w:rsidRPr="005E4704">
        <w:rPr>
          <w:lang w:val="cy-GB"/>
        </w:rPr>
        <w:t xml:space="preserve"> (</w:t>
      </w:r>
      <w:r>
        <w:rPr>
          <w:lang w:val="cy-GB"/>
        </w:rPr>
        <w:t>er enghraifft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lle bo ymgeisydd swydd yn perthyn i aelod o’r panel recriwtio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ond ni phroseswyd y ceisiadau</w:t>
      </w:r>
      <w:r w:rsidR="00AA1385">
        <w:rPr>
          <w:lang w:val="cy-GB"/>
        </w:rPr>
        <w:t xml:space="preserve"> eto</w:t>
      </w:r>
      <w:r w:rsidR="00D33194" w:rsidRPr="005E4704">
        <w:rPr>
          <w:lang w:val="cy-GB"/>
        </w:rPr>
        <w:t>).</w:t>
      </w:r>
    </w:p>
    <w:p w:rsidR="00D33194" w:rsidRPr="005E4704" w:rsidRDefault="00AA1385" w:rsidP="00801D3B">
      <w:pPr>
        <w:pStyle w:val="List"/>
        <w:ind w:right="-1"/>
        <w:contextualSpacing w:val="0"/>
        <w:rPr>
          <w:lang w:val="cy-GB"/>
        </w:rPr>
      </w:pPr>
      <w:r>
        <w:rPr>
          <w:lang w:val="cy-GB"/>
        </w:rPr>
        <w:t>Gwrthdaro buddiannau</w:t>
      </w:r>
      <w:r w:rsidR="00D33194" w:rsidRPr="005E4704">
        <w:rPr>
          <w:lang w:val="cy-GB"/>
        </w:rPr>
        <w:t xml:space="preserve"> </w:t>
      </w:r>
      <w:r>
        <w:rPr>
          <w:b/>
          <w:lang w:val="cy-GB"/>
        </w:rPr>
        <w:t>canfyddadwy</w:t>
      </w:r>
      <w:r w:rsidR="00D33194" w:rsidRPr="005E4704">
        <w:rPr>
          <w:b/>
          <w:lang w:val="cy-GB"/>
        </w:rPr>
        <w:t xml:space="preserve"> </w:t>
      </w:r>
      <w:r>
        <w:rPr>
          <w:lang w:val="cy-GB"/>
        </w:rPr>
        <w:t>yw un ble mae’r amgylchiadau’n dynodi i berson rhesymol yr effeithiwyd ar ddyletswydd gweithiwr cyflogedig i’r Ysgol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boed hynny’n wrthdaro buddiannau gwirioneddol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ai peidio</w:t>
      </w:r>
      <w:r w:rsidR="00D33194" w:rsidRPr="005E4704">
        <w:rPr>
          <w:lang w:val="cy-GB"/>
        </w:rPr>
        <w:t xml:space="preserve"> (</w:t>
      </w:r>
      <w:r>
        <w:rPr>
          <w:lang w:val="cy-GB"/>
        </w:rPr>
        <w:t>er enghraifft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gallai athro gwleidyddiaeth fod yn aelod o blaid wleidyddol heb i’r aelodaeth hwnnw effeithio ar eu gallu i raddio gwaith myfyrwyr, ond, gallai fod yn ganfyddedig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y byddai’r aelodaeth yn effeithio ar eu gallu i asesu’r gwaith hwnnw’n ddi-duedd</w:t>
      </w:r>
      <w:r w:rsidR="00D33194" w:rsidRPr="005E4704">
        <w:rPr>
          <w:lang w:val="cy-GB"/>
        </w:rPr>
        <w:t>).</w:t>
      </w:r>
    </w:p>
    <w:p w:rsidR="00D33194" w:rsidRPr="005E4704" w:rsidRDefault="00AA1385" w:rsidP="00801D3B">
      <w:pPr>
        <w:pStyle w:val="Body"/>
        <w:ind w:right="-1"/>
        <w:rPr>
          <w:lang w:val="cy-GB"/>
        </w:rPr>
      </w:pPr>
      <w:r>
        <w:rPr>
          <w:lang w:val="cy-GB"/>
        </w:rPr>
        <w:t>Nid yw’r ffaith bod gan aelod o</w:t>
      </w:r>
      <w:r w:rsidR="00D33194" w:rsidRPr="005E4704">
        <w:rPr>
          <w:lang w:val="cy-GB"/>
        </w:rPr>
        <w:t xml:space="preserve"> staff </w:t>
      </w:r>
      <w:r>
        <w:rPr>
          <w:lang w:val="cy-GB"/>
        </w:rPr>
        <w:t>berthynas</w:t>
      </w:r>
      <w:r w:rsidR="00D33194" w:rsidRPr="005E4704">
        <w:rPr>
          <w:lang w:val="cy-GB"/>
        </w:rPr>
        <w:t xml:space="preserve"> (e.</w:t>
      </w:r>
      <w:r>
        <w:rPr>
          <w:lang w:val="cy-GB"/>
        </w:rPr>
        <w:t>e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teuluol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cyfeillgarwch</w:t>
      </w:r>
      <w:r w:rsidR="00D33194" w:rsidRPr="005E4704">
        <w:rPr>
          <w:lang w:val="cy-GB"/>
        </w:rPr>
        <w:t xml:space="preserve">) </w:t>
      </w:r>
      <w:r>
        <w:rPr>
          <w:lang w:val="cy-GB"/>
        </w:rPr>
        <w:t>gyda rhywun sy’n gysylltiedig â’r Ysgol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o reidrwydd yn golygu bod yna wrthdaro buddiannau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Mae bodolaeth gwrthdaro buddiannau</w:t>
      </w:r>
      <w:r w:rsidR="00D33194" w:rsidRPr="005E4704">
        <w:rPr>
          <w:lang w:val="cy-GB"/>
        </w:rPr>
        <w:t xml:space="preserve"> (</w:t>
      </w:r>
      <w:r>
        <w:rPr>
          <w:lang w:val="cy-GB"/>
        </w:rPr>
        <w:t>gwirioneddo</w:t>
      </w:r>
      <w:r w:rsidR="00D33194" w:rsidRPr="005E4704">
        <w:rPr>
          <w:lang w:val="cy-GB"/>
        </w:rPr>
        <w:t xml:space="preserve">l, </w:t>
      </w:r>
      <w:r>
        <w:rPr>
          <w:lang w:val="cy-GB"/>
        </w:rPr>
        <w:t>posibl neu ganfyddadwy</w:t>
      </w:r>
      <w:r w:rsidR="00D33194" w:rsidRPr="005E4704">
        <w:rPr>
          <w:lang w:val="cy-GB"/>
        </w:rPr>
        <w:t xml:space="preserve">) </w:t>
      </w:r>
      <w:r>
        <w:rPr>
          <w:lang w:val="cy-GB"/>
        </w:rPr>
        <w:t>yn dibynnu ar yr amgylchiadau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Er enghraifft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gall mam a merch addysgu mewn meysydd pwnc gwanahol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yn yr un ysgol uwchradd heb i wrthdaro buddiannau godi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Ond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pe bai’r fam yn bennaeth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ac mae’r ferch yn ymgeisio am swydd yn yr ysgol, mae gwrthdaro buddiannau posibl yn codi a dyl;id datgelu’r gwrthdaro a’i reoli mewn modd priodol</w:t>
      </w:r>
      <w:r w:rsidR="00D33194" w:rsidRPr="005E4704">
        <w:rPr>
          <w:lang w:val="cy-GB"/>
        </w:rPr>
        <w:t>.</w:t>
      </w:r>
    </w:p>
    <w:p w:rsidR="00D33194" w:rsidRPr="005E4704" w:rsidRDefault="00AA1385" w:rsidP="00801D3B">
      <w:pPr>
        <w:pStyle w:val="Heading10"/>
        <w:ind w:right="-1"/>
        <w:rPr>
          <w:lang w:val="cy-GB"/>
        </w:rPr>
      </w:pPr>
      <w:r>
        <w:rPr>
          <w:lang w:val="cy-GB"/>
        </w:rPr>
        <w:t>Sefyllfaoedd nodweddiadool o wrthdaro buddiannau</w:t>
      </w:r>
    </w:p>
    <w:p w:rsidR="00D33194" w:rsidRPr="005E4704" w:rsidRDefault="00AA1385" w:rsidP="00801D3B">
      <w:pPr>
        <w:pStyle w:val="Body"/>
        <w:ind w:right="-1"/>
        <w:rPr>
          <w:lang w:val="cy-GB"/>
        </w:rPr>
      </w:pPr>
      <w:r>
        <w:rPr>
          <w:lang w:val="cy-GB"/>
        </w:rPr>
        <w:t>Gall gwrthdaro buddiannau</w:t>
      </w:r>
      <w:r w:rsidR="00706A6B">
        <w:rPr>
          <w:lang w:val="cy-GB"/>
        </w:rPr>
        <w:t xml:space="preserve"> godi mewn sawl sefyllfa mewn sefyllfa ysgol</w:t>
      </w:r>
      <w:r w:rsidR="00D33194" w:rsidRPr="005E4704">
        <w:rPr>
          <w:lang w:val="cy-GB"/>
        </w:rPr>
        <w:t xml:space="preserve">. </w:t>
      </w:r>
      <w:r w:rsidR="00706A6B">
        <w:rPr>
          <w:lang w:val="cy-GB"/>
        </w:rPr>
        <w:t>Amlinellir rhai o’r sefyllfaoedd mwyaf cyffredin isod</w:t>
      </w:r>
      <w:r w:rsidR="00D33194" w:rsidRPr="005E4704">
        <w:rPr>
          <w:lang w:val="cy-GB"/>
        </w:rPr>
        <w:t>.</w:t>
      </w:r>
    </w:p>
    <w:p w:rsidR="00D33194" w:rsidRPr="005E4704" w:rsidRDefault="00706A6B" w:rsidP="00801D3B">
      <w:pPr>
        <w:pStyle w:val="Heading2"/>
        <w:ind w:right="-1"/>
        <w:rPr>
          <w:lang w:val="cy-GB"/>
        </w:rPr>
      </w:pPr>
      <w:r>
        <w:rPr>
          <w:lang w:val="cy-GB"/>
        </w:rPr>
        <w:t>Cyflogaeth arall</w:t>
      </w:r>
      <w:r w:rsidR="00D33194" w:rsidRPr="005E4704">
        <w:rPr>
          <w:lang w:val="cy-GB"/>
        </w:rPr>
        <w:t>/</w:t>
      </w:r>
      <w:r>
        <w:rPr>
          <w:lang w:val="cy-GB"/>
        </w:rPr>
        <w:t>gweithgareddau am dâl</w:t>
      </w:r>
    </w:p>
    <w:p w:rsidR="00D33194" w:rsidRPr="005E4704" w:rsidRDefault="00706A6B" w:rsidP="00801D3B">
      <w:pPr>
        <w:pStyle w:val="Body"/>
        <w:ind w:right="-1"/>
        <w:rPr>
          <w:lang w:val="cy-GB"/>
        </w:rPr>
      </w:pPr>
      <w:r>
        <w:rPr>
          <w:lang w:val="cy-GB"/>
        </w:rPr>
        <w:t>Gall gweithiwr cyflogedig sy’n ymgymryd â chyflogaeth arall neu weithgareddau am dâl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arwain at wrthdaro buddiannau posibl/gwirioneddol/canfyddadwy, yn arbennig pa fod’r gwaith arall yn ymwneud â dyletswyddau gwaith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Yn ddibynnol ar yr amgylchiadau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gallai gallu gweithiwr cyflogedig i gyflawni eu dyletswyddau gwaith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gael ei effeithio’n andwyol gan gyflogaeth/gweithgaredd arall</w:t>
      </w:r>
      <w:r w:rsidR="00D33194" w:rsidRPr="005E4704">
        <w:rPr>
          <w:lang w:val="cy-GB"/>
        </w:rPr>
        <w:t>.</w:t>
      </w:r>
    </w:p>
    <w:p w:rsidR="00D33194" w:rsidRPr="005E4704" w:rsidRDefault="00706A6B" w:rsidP="00801D3B">
      <w:pPr>
        <w:pStyle w:val="Body"/>
        <w:ind w:right="-1"/>
        <w:rPr>
          <w:lang w:val="cy-GB"/>
        </w:rPr>
      </w:pPr>
      <w:r>
        <w:rPr>
          <w:lang w:val="cy-GB"/>
        </w:rPr>
        <w:t>Ar wahân i’r rhwymedigaethau parhaus dan y polisi hwn, rhaid i weithiwr cyflogedig ddiwallu rhwymedigaethau gwrthdaro buddiannau penodol dan eu contract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cyflogaeth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Sef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rhaid i’r gweithiwr cyflogedig nhysbysu’r pennaeth yn ysgrifenedig am y gyflogaeth/gweithgaredd arall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Yna bydd</w:t>
      </w:r>
      <w:r w:rsidR="000A4B07">
        <w:rPr>
          <w:lang w:val="cy-GB"/>
        </w:rPr>
        <w:t xml:space="preserve"> </w:t>
      </w:r>
      <w:r>
        <w:rPr>
          <w:lang w:val="cy-GB"/>
        </w:rPr>
        <w:t>y pennaeth yn penderfynu a oes yna wrthdaro buddiannau posibl/gwirioneddol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Rhaid rheoli pob gwrthdaro buddiannau er budd yr Ysgol</w:t>
      </w:r>
      <w:r w:rsidR="00D33194" w:rsidRPr="005E4704">
        <w:rPr>
          <w:lang w:val="cy-GB"/>
        </w:rPr>
        <w:t>.</w:t>
      </w:r>
    </w:p>
    <w:p w:rsidR="00D33194" w:rsidRPr="005E4704" w:rsidRDefault="00706A6B" w:rsidP="00AC75D9">
      <w:pPr>
        <w:pStyle w:val="Heading2"/>
        <w:rPr>
          <w:lang w:val="cy-GB"/>
        </w:rPr>
      </w:pPr>
      <w:r>
        <w:rPr>
          <w:lang w:val="cy-GB"/>
        </w:rPr>
        <w:t>Gwaredu asesau’r Ysgol</w:t>
      </w:r>
    </w:p>
    <w:p w:rsidR="00D33194" w:rsidRPr="005E4704" w:rsidRDefault="00D9505D" w:rsidP="00F12E2A">
      <w:pPr>
        <w:pStyle w:val="Body"/>
        <w:rPr>
          <w:lang w:val="cy-GB"/>
        </w:rPr>
      </w:pPr>
      <w:r>
        <w:rPr>
          <w:lang w:val="cy-GB"/>
        </w:rPr>
        <w:t>Mae gan waredu asedau ysgol oblygiadau gwrthdaro buddiannau posibl fel twyll neu ddefnydd answyddogol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o gyfarpar</w:t>
      </w:r>
      <w:r w:rsidR="00D33194" w:rsidRPr="005E4704">
        <w:rPr>
          <w:lang w:val="cy-GB"/>
        </w:rPr>
        <w:t>.</w:t>
      </w:r>
    </w:p>
    <w:p w:rsidR="00D33194" w:rsidRDefault="00D9505D" w:rsidP="00F12E2A">
      <w:pPr>
        <w:pStyle w:val="Body"/>
        <w:rPr>
          <w:lang w:val="cy-GB"/>
        </w:rPr>
      </w:pPr>
      <w:r>
        <w:rPr>
          <w:lang w:val="cy-GB"/>
        </w:rPr>
        <w:t>Nid oes gan weithwyr cyflogedig ysgol fynediad blaenoriaethol i asedau gwarged yr ysgol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Mae’r Ysgol yn cadw’r hawl i hysbysu’r cyhoedd am unrhyw werthu asedau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Gall gweithwyr cyflogedig wneud cynnig ôl-hysbysiad</w:t>
      </w:r>
      <w:r w:rsidR="00D33194" w:rsidRPr="005E4704">
        <w:rPr>
          <w:lang w:val="cy-GB"/>
        </w:rPr>
        <w:t>.</w:t>
      </w:r>
    </w:p>
    <w:p w:rsidR="00D9505D" w:rsidRPr="005E4704" w:rsidRDefault="00D9505D" w:rsidP="00F12E2A">
      <w:pPr>
        <w:pStyle w:val="Body"/>
        <w:rPr>
          <w:lang w:val="cy-GB"/>
        </w:rPr>
      </w:pPr>
    </w:p>
    <w:p w:rsidR="00D33194" w:rsidRPr="005E4704" w:rsidRDefault="00BE2225" w:rsidP="00B3663C">
      <w:pPr>
        <w:pStyle w:val="Heading2"/>
        <w:rPr>
          <w:lang w:val="cy-GB"/>
        </w:rPr>
      </w:pPr>
      <w:r>
        <w:rPr>
          <w:lang w:val="cy-GB"/>
        </w:rPr>
        <w:lastRenderedPageBreak/>
        <w:t>Derbyn rhoddion a buddion</w:t>
      </w:r>
    </w:p>
    <w:p w:rsidR="00D33194" w:rsidRPr="005E4704" w:rsidRDefault="00BE2225" w:rsidP="00F12E2A">
      <w:pPr>
        <w:pStyle w:val="Body"/>
        <w:rPr>
          <w:lang w:val="cy-GB"/>
        </w:rPr>
      </w:pPr>
      <w:r>
        <w:rPr>
          <w:lang w:val="cy-GB"/>
        </w:rPr>
        <w:t>Mae’n bolisi yn yr Ysgol hon y gall gweithwyr cyflogedig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dderbyn</w:t>
      </w:r>
      <w:r w:rsidR="00D33194" w:rsidRPr="005E4704">
        <w:rPr>
          <w:lang w:val="cy-GB"/>
        </w:rPr>
        <w:t xml:space="preserve"> ‘</w:t>
      </w:r>
      <w:r>
        <w:rPr>
          <w:lang w:val="cy-GB"/>
        </w:rPr>
        <w:t>rhoddion symbolaidd</w:t>
      </w:r>
      <w:r w:rsidR="00D33194" w:rsidRPr="005E4704">
        <w:rPr>
          <w:lang w:val="cy-GB"/>
        </w:rPr>
        <w:t xml:space="preserve">’ </w:t>
      </w:r>
      <w:r>
        <w:rPr>
          <w:lang w:val="cy-GB"/>
        </w:rPr>
        <w:t>gan bartïon allanonol am waith a wnaethant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lle bo cyfanswm gwerth y rhodd dan</w:t>
      </w:r>
      <w:r w:rsidR="00D33194" w:rsidRPr="005E4704">
        <w:rPr>
          <w:lang w:val="cy-GB"/>
        </w:rPr>
        <w:t xml:space="preserve"> </w:t>
      </w:r>
      <w:r w:rsidR="00252648" w:rsidRPr="005E4704">
        <w:rPr>
          <w:lang w:val="cy-GB"/>
        </w:rPr>
        <w:t>(£10)</w:t>
      </w:r>
      <w:r>
        <w:rPr>
          <w:lang w:val="cy-GB"/>
        </w:rPr>
        <w:t>.</w:t>
      </w:r>
      <w:r w:rsidR="00252648" w:rsidRPr="005E4704">
        <w:rPr>
          <w:lang w:val="cy-GB"/>
        </w:rPr>
        <w:t xml:space="preserve"> </w:t>
      </w:r>
      <w:r>
        <w:rPr>
          <w:lang w:val="cy-GB"/>
        </w:rPr>
        <w:t>Er enghraifft</w:t>
      </w:r>
      <w:r w:rsidR="00107BA2" w:rsidRPr="005E4704">
        <w:rPr>
          <w:lang w:val="cy-GB"/>
        </w:rPr>
        <w:t xml:space="preserve">, </w:t>
      </w:r>
      <w:r>
        <w:rPr>
          <w:lang w:val="cy-GB"/>
        </w:rPr>
        <w:t>gall</w:t>
      </w:r>
      <w:r w:rsidR="00107BA2" w:rsidRPr="005E4704">
        <w:rPr>
          <w:lang w:val="cy-GB"/>
        </w:rPr>
        <w:t xml:space="preserve"> ‘</w:t>
      </w:r>
      <w:r>
        <w:rPr>
          <w:lang w:val="cy-GB"/>
        </w:rPr>
        <w:t>rhodd symbolaidd</w:t>
      </w:r>
      <w:r w:rsidR="00107BA2" w:rsidRPr="005E4704">
        <w:rPr>
          <w:lang w:val="cy-GB"/>
        </w:rPr>
        <w:t xml:space="preserve">’ </w:t>
      </w:r>
      <w:r>
        <w:rPr>
          <w:lang w:val="cy-GB"/>
        </w:rPr>
        <w:t>fod yn botel o win neu basged o fwyd o faint cymedrol</w:t>
      </w:r>
      <w:r w:rsidR="00D33194" w:rsidRPr="005E4704">
        <w:rPr>
          <w:lang w:val="cy-GB"/>
        </w:rPr>
        <w:t>.</w:t>
      </w:r>
    </w:p>
    <w:p w:rsidR="00D33194" w:rsidRPr="005E4704" w:rsidRDefault="00BE2225" w:rsidP="00F12E2A">
      <w:pPr>
        <w:pStyle w:val="Body"/>
        <w:rPr>
          <w:lang w:val="cy-GB"/>
        </w:rPr>
      </w:pPr>
      <w:r>
        <w:rPr>
          <w:lang w:val="cy-GB"/>
        </w:rPr>
        <w:t>Gellid ystyried derbyn rhoddion nad yw’n</w:t>
      </w:r>
      <w:r w:rsidR="00D33194" w:rsidRPr="005E4704">
        <w:rPr>
          <w:lang w:val="cy-GB"/>
        </w:rPr>
        <w:t xml:space="preserve"> ‘</w:t>
      </w:r>
      <w:r>
        <w:rPr>
          <w:lang w:val="cy-GB"/>
        </w:rPr>
        <w:t>rhodd symbolaidd</w:t>
      </w:r>
      <w:r w:rsidR="00D33194" w:rsidRPr="005E4704">
        <w:rPr>
          <w:lang w:val="cy-GB"/>
        </w:rPr>
        <w:t xml:space="preserve">’ </w:t>
      </w:r>
      <w:r>
        <w:rPr>
          <w:lang w:val="cy-GB"/>
        </w:rPr>
        <w:t>neu dderbyn rhoddion</w:t>
      </w:r>
      <w:r w:rsidR="00D33194" w:rsidRPr="005E4704">
        <w:rPr>
          <w:lang w:val="cy-GB"/>
        </w:rPr>
        <w:t>/b</w:t>
      </w:r>
      <w:r>
        <w:rPr>
          <w:lang w:val="cy-GB"/>
        </w:rPr>
        <w:t>uddion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sy’n fwy o werth na</w:t>
      </w:r>
      <w:r w:rsidR="00252648" w:rsidRPr="005E4704">
        <w:rPr>
          <w:lang w:val="cy-GB"/>
        </w:rPr>
        <w:t xml:space="preserve"> £10</w:t>
      </w:r>
      <w:r w:rsidR="00D33194" w:rsidRPr="005E4704">
        <w:rPr>
          <w:b/>
          <w:lang w:val="cy-GB"/>
        </w:rPr>
        <w:t xml:space="preserve"> </w:t>
      </w:r>
      <w:r>
        <w:rPr>
          <w:lang w:val="cy-GB"/>
        </w:rPr>
        <w:t>fel gwrthdaro buddiannau</w:t>
      </w:r>
      <w:r w:rsidR="00D33194" w:rsidRPr="005E4704">
        <w:rPr>
          <w:lang w:val="cy-GB"/>
        </w:rPr>
        <w:t>.</w:t>
      </w:r>
    </w:p>
    <w:p w:rsidR="00D33194" w:rsidRPr="005E4704" w:rsidRDefault="00D33194" w:rsidP="00F12E2A">
      <w:pPr>
        <w:pStyle w:val="Body"/>
        <w:rPr>
          <w:lang w:val="cy-GB"/>
        </w:rPr>
      </w:pPr>
      <w:r w:rsidRPr="005E4704">
        <w:rPr>
          <w:lang w:val="cy-GB"/>
        </w:rPr>
        <w:t>No</w:t>
      </w:r>
      <w:r w:rsidR="00BE2225">
        <w:rPr>
          <w:lang w:val="cy-GB"/>
        </w:rPr>
        <w:t>der bod y polisi hwn yn ymdrin â rhoddion/buddion gan bartïon allanol</w:t>
      </w:r>
      <w:r w:rsidRPr="005E4704">
        <w:rPr>
          <w:lang w:val="cy-GB"/>
        </w:rPr>
        <w:t xml:space="preserve">. </w:t>
      </w:r>
      <w:r w:rsidR="00BE2225">
        <w:rPr>
          <w:lang w:val="cy-GB"/>
        </w:rPr>
        <w:t>Nid yw’n</w:t>
      </w:r>
      <w:r w:rsidR="00366F8F">
        <w:rPr>
          <w:lang w:val="cy-GB"/>
        </w:rPr>
        <w:t xml:space="preserve"> atal</w:t>
      </w:r>
      <w:r w:rsidRPr="005E4704">
        <w:rPr>
          <w:lang w:val="cy-GB"/>
        </w:rPr>
        <w:t xml:space="preserve">, </w:t>
      </w:r>
      <w:r w:rsidR="00366F8F">
        <w:rPr>
          <w:lang w:val="cy-GB"/>
        </w:rPr>
        <w:t>er enghraifft</w:t>
      </w:r>
      <w:r w:rsidRPr="005E4704">
        <w:rPr>
          <w:lang w:val="cy-GB"/>
        </w:rPr>
        <w:t xml:space="preserve">, </w:t>
      </w:r>
      <w:r w:rsidR="00366F8F">
        <w:rPr>
          <w:lang w:val="cy-GB"/>
        </w:rPr>
        <w:t>yr Ysgol na’r</w:t>
      </w:r>
      <w:r w:rsidRPr="005E4704">
        <w:rPr>
          <w:lang w:val="cy-GB"/>
        </w:rPr>
        <w:t xml:space="preserve"> staff </w:t>
      </w:r>
      <w:r w:rsidR="00366F8F">
        <w:rPr>
          <w:lang w:val="cy-GB"/>
        </w:rPr>
        <w:t>cyfunol i roi rhodd i aelod o staff sy’n gadael nac i’r aelod o staff sy’n gadael i dderbyn y rhodd</w:t>
      </w:r>
      <w:r w:rsidRPr="005E4704">
        <w:rPr>
          <w:lang w:val="cy-GB"/>
        </w:rPr>
        <w:t>.</w:t>
      </w:r>
    </w:p>
    <w:p w:rsidR="00D33194" w:rsidRPr="005E4704" w:rsidRDefault="00366F8F" w:rsidP="00F12E2A">
      <w:pPr>
        <w:pStyle w:val="Body"/>
        <w:rPr>
          <w:lang w:val="cy-GB"/>
        </w:rPr>
      </w:pPr>
      <w:r>
        <w:rPr>
          <w:lang w:val="cy-GB"/>
        </w:rPr>
        <w:t xml:space="preserve">Gallai fod yn ganfyddadwy y gallai derbyn rhodd/budd 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greu gwrthdaro buddiannau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posibl, a dylai’r gweithiwr cyflogedig wrthod y cynnig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o’r rhodd/budd a dweud wrth y pennaeth am y cynnig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Hyd yn oed os yw gwerth y rhodd/budd yn llai na’r swm penododeig a restrwyd uchod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dylid cwblhau’r</w:t>
      </w:r>
      <w:r w:rsidR="00D33194" w:rsidRPr="005E4704">
        <w:rPr>
          <w:lang w:val="cy-GB"/>
        </w:rPr>
        <w:t xml:space="preserve"> </w:t>
      </w:r>
      <w:r>
        <w:rPr>
          <w:color w:val="2E74B5"/>
          <w:u w:val="single" w:color="2E74B5"/>
          <w:lang w:val="cy-GB"/>
        </w:rPr>
        <w:t>Ffurflen Datganiad am Rodd neu Fudd</w:t>
      </w:r>
      <w:r w:rsidR="00D33194" w:rsidRPr="005E4704">
        <w:rPr>
          <w:color w:val="2E74B5"/>
          <w:lang w:val="cy-GB"/>
        </w:rPr>
        <w:t xml:space="preserve"> </w:t>
      </w:r>
      <w:r>
        <w:rPr>
          <w:lang w:val="cy-GB"/>
        </w:rPr>
        <w:t>rhan amlaf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Y rheswm dros hyn yw er mwyn sicrhau bod y rhoddion a buddiannau wedi cael eu datgelu yn y modd priodol a bod unrhyw wrthdaro buddiannau canfyddadwy neu wirioneddol yn cael ei reoli’n briodol</w:t>
      </w:r>
      <w:r w:rsidR="00D33194" w:rsidRPr="005E4704">
        <w:rPr>
          <w:lang w:val="cy-GB"/>
        </w:rPr>
        <w:t>.</w:t>
      </w:r>
    </w:p>
    <w:p w:rsidR="00D33194" w:rsidRPr="005E4704" w:rsidRDefault="00366F8F" w:rsidP="00F12E2A">
      <w:pPr>
        <w:pStyle w:val="Body"/>
        <w:rPr>
          <w:lang w:val="cy-GB"/>
        </w:rPr>
      </w:pPr>
      <w:r>
        <w:rPr>
          <w:lang w:val="cy-GB"/>
        </w:rPr>
        <w:t xml:space="preserve">Lleiafswm y gofynion ar gyfer gweithwyr cyflogedig pan gynigir rhoddion/buddion, ac eithrio ‘rhoddion symbolaidd’ neu’r rheiny o werth enwol is na </w:t>
      </w:r>
      <w:r w:rsidR="00D33194" w:rsidRPr="005E4704">
        <w:rPr>
          <w:lang w:val="cy-GB"/>
        </w:rPr>
        <w:t xml:space="preserve"> </w:t>
      </w:r>
      <w:r w:rsidR="00252648" w:rsidRPr="005E4704">
        <w:rPr>
          <w:lang w:val="cy-GB"/>
        </w:rPr>
        <w:t xml:space="preserve">(£10) </w:t>
      </w:r>
      <w:r>
        <w:rPr>
          <w:lang w:val="cy-GB"/>
        </w:rPr>
        <w:t>yw bod gweithwyr cyflogedig</w:t>
      </w:r>
      <w:r w:rsidR="00D33194" w:rsidRPr="005E4704">
        <w:rPr>
          <w:lang w:val="cy-GB"/>
        </w:rPr>
        <w:t>:</w:t>
      </w:r>
    </w:p>
    <w:p w:rsidR="00D33194" w:rsidRPr="005E4704" w:rsidRDefault="00366F8F" w:rsidP="00CB3EEC">
      <w:pPr>
        <w:pStyle w:val="List"/>
        <w:rPr>
          <w:lang w:val="cy-GB"/>
        </w:rPr>
      </w:pPr>
      <w:r>
        <w:rPr>
          <w:lang w:val="cy-GB"/>
        </w:rPr>
        <w:t>ddim yn</w:t>
      </w:r>
      <w:r w:rsidR="00D33194" w:rsidRPr="005E4704">
        <w:rPr>
          <w:lang w:val="cy-GB"/>
        </w:rPr>
        <w:t xml:space="preserve"> </w:t>
      </w:r>
      <w:r w:rsidR="00F93942">
        <w:rPr>
          <w:lang w:val="cy-GB"/>
        </w:rPr>
        <w:t xml:space="preserve">gofyn am roddion neu fuddiannau </w:t>
      </w:r>
    </w:p>
    <w:p w:rsidR="00D33194" w:rsidRPr="005E4704" w:rsidRDefault="00F93942" w:rsidP="00CB3EEC">
      <w:pPr>
        <w:pStyle w:val="List"/>
        <w:rPr>
          <w:lang w:val="cy-GB"/>
        </w:rPr>
      </w:pPr>
      <w:r>
        <w:rPr>
          <w:lang w:val="cy-GB"/>
        </w:rPr>
        <w:t>gwrthod pob cynnig o roddion neu fuddion y gellid canfod yn rhesymol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i fod yn tanseilio unplygrwydd yr Ysgol neu hwy eu hunain</w:t>
      </w:r>
      <w:r w:rsidR="00D33194" w:rsidRPr="005E4704">
        <w:rPr>
          <w:lang w:val="cy-GB"/>
        </w:rPr>
        <w:t xml:space="preserve"> </w:t>
      </w:r>
    </w:p>
    <w:p w:rsidR="00D33194" w:rsidRPr="005E4704" w:rsidRDefault="00F93942" w:rsidP="00CB3EEC">
      <w:pPr>
        <w:pStyle w:val="List"/>
        <w:rPr>
          <w:lang w:val="cy-GB"/>
        </w:rPr>
      </w:pPr>
      <w:r>
        <w:rPr>
          <w:lang w:val="cy-GB"/>
        </w:rPr>
        <w:t>dweud wrth roddwr y rhodd bod ‘diolch yn ddigon’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a’i fod yn rhodd ystyriol ond nad oedd ei angen mewn pertthynas â’u gwaith na’u gwasanaeth</w:t>
      </w:r>
    </w:p>
    <w:p w:rsidR="00D33194" w:rsidRPr="005E4704" w:rsidRDefault="00F93942" w:rsidP="00CB3EEC">
      <w:pPr>
        <w:pStyle w:val="List"/>
        <w:rPr>
          <w:lang w:val="cy-GB"/>
        </w:rPr>
      </w:pPr>
      <w:r>
        <w:rPr>
          <w:lang w:val="cy-GB"/>
        </w:rPr>
        <w:t>gwrthod pob cynnig am roddion neu fuddion gan unigolion neu sefydliadau y maent yn debyg o wneud penderfyniadau amdanynt</w:t>
      </w:r>
      <w:r w:rsidR="00D33194" w:rsidRPr="005E4704">
        <w:rPr>
          <w:lang w:val="cy-GB"/>
        </w:rPr>
        <w:t xml:space="preserve"> (e.</w:t>
      </w:r>
      <w:r>
        <w:rPr>
          <w:lang w:val="cy-GB"/>
        </w:rPr>
        <w:t>e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prosesau tendro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caffael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neu drwyddedu neu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reoliad</w:t>
      </w:r>
      <w:r w:rsidR="00D33194" w:rsidRPr="005E4704">
        <w:rPr>
          <w:lang w:val="cy-GB"/>
        </w:rPr>
        <w:t>)</w:t>
      </w:r>
    </w:p>
    <w:p w:rsidR="00D33194" w:rsidRPr="005E4704" w:rsidRDefault="00F93942" w:rsidP="00CB3EEC">
      <w:pPr>
        <w:pStyle w:val="List"/>
        <w:rPr>
          <w:lang w:val="cy-GB"/>
        </w:rPr>
      </w:pPr>
      <w:r>
        <w:rPr>
          <w:lang w:val="cy-GB"/>
        </w:rPr>
        <w:t>gwrthod pob cynnig o arian neu eitemau y gellir eu newid yn rhwydd i arian, fel cyfranddaliadau</w:t>
      </w:r>
      <w:r w:rsidR="00D33194" w:rsidRPr="005E4704">
        <w:rPr>
          <w:lang w:val="cy-GB"/>
        </w:rPr>
        <w:t xml:space="preserve"> </w:t>
      </w:r>
    </w:p>
    <w:p w:rsidR="00F93942" w:rsidRDefault="00F93942" w:rsidP="00CB3EEC">
      <w:pPr>
        <w:pStyle w:val="List"/>
        <w:rPr>
          <w:lang w:val="cy-GB"/>
        </w:rPr>
      </w:pPr>
      <w:r w:rsidRPr="00F93942">
        <w:rPr>
          <w:lang w:val="cy-GB"/>
        </w:rPr>
        <w:t>gwrthod llwgrwobrwyon</w:t>
      </w:r>
      <w:r w:rsidR="00D33194" w:rsidRPr="00F93942">
        <w:rPr>
          <w:lang w:val="cy-GB"/>
        </w:rPr>
        <w:t xml:space="preserve"> </w:t>
      </w:r>
      <w:r w:rsidRPr="00F93942">
        <w:rPr>
          <w:lang w:val="cy-GB"/>
        </w:rPr>
        <w:t>ac adrodd am ymdrechion i lwgrwobrwyo wrth y pennaeth</w:t>
      </w:r>
      <w:r w:rsidR="00D33194" w:rsidRPr="00F93942">
        <w:rPr>
          <w:lang w:val="cy-GB"/>
        </w:rPr>
        <w:t xml:space="preserve"> </w:t>
      </w:r>
    </w:p>
    <w:p w:rsidR="00D33194" w:rsidRPr="00F93942" w:rsidRDefault="00F93942" w:rsidP="00CB3EEC">
      <w:pPr>
        <w:pStyle w:val="List"/>
        <w:rPr>
          <w:lang w:val="cy-GB"/>
        </w:rPr>
      </w:pPr>
      <w:r>
        <w:rPr>
          <w:lang w:val="cy-GB"/>
        </w:rPr>
        <w:t>gofyn am gyngor gan y pennaeth os yn ansicr sut i ymateb i gynnig o rodd neu fudd sy’n fwy na’r gwerth enwol</w:t>
      </w:r>
      <w:r w:rsidR="00D33194" w:rsidRPr="00F93942">
        <w:rPr>
          <w:lang w:val="cy-GB"/>
        </w:rPr>
        <w:t>.</w:t>
      </w:r>
    </w:p>
    <w:p w:rsidR="00D33194" w:rsidRPr="005E4704" w:rsidRDefault="00F93942" w:rsidP="00F12E2A">
      <w:pPr>
        <w:pStyle w:val="Heading2"/>
        <w:rPr>
          <w:lang w:val="cy-GB"/>
        </w:rPr>
      </w:pPr>
      <w:r>
        <w:rPr>
          <w:lang w:val="cy-GB"/>
        </w:rPr>
        <w:t>Caffael nwyddau a gwasanaethau</w:t>
      </w:r>
    </w:p>
    <w:p w:rsidR="00D33194" w:rsidRPr="005E4704" w:rsidRDefault="002B29A7" w:rsidP="00F12E2A">
      <w:pPr>
        <w:pStyle w:val="Body"/>
        <w:rPr>
          <w:lang w:val="cy-GB"/>
        </w:rPr>
      </w:pPr>
      <w:r>
        <w:rPr>
          <w:lang w:val="cy-GB"/>
        </w:rPr>
        <w:t>Gallai gwrthdaro buddiannau</w:t>
      </w:r>
      <w:r w:rsidR="00D33194" w:rsidRPr="005E4704">
        <w:rPr>
          <w:lang w:val="cy-GB"/>
        </w:rPr>
        <w:t xml:space="preserve"> po</w:t>
      </w:r>
      <w:r>
        <w:rPr>
          <w:lang w:val="cy-GB"/>
        </w:rPr>
        <w:t>sibl neu ganfyddadwy fodoli</w:t>
      </w:r>
      <w:r w:rsidR="00C02B85">
        <w:rPr>
          <w:lang w:val="cy-GB"/>
        </w:rPr>
        <w:t xml:space="preserve"> pan fo contractwr a ddefnyddir yn yr Ysgol hefyd yn cael ei gyflogi gan weithiwr cyflogedig ar gyfer gwaith preifat</w:t>
      </w:r>
      <w:r w:rsidR="00D33194" w:rsidRPr="005E4704">
        <w:rPr>
          <w:lang w:val="cy-GB"/>
        </w:rPr>
        <w:t xml:space="preserve">. </w:t>
      </w:r>
      <w:r w:rsidR="00C02B85">
        <w:rPr>
          <w:lang w:val="cy-GB"/>
        </w:rPr>
        <w:t>Mewn rhai sefyllfaoedd</w:t>
      </w:r>
      <w:r w:rsidR="00D33194" w:rsidRPr="005E4704">
        <w:rPr>
          <w:lang w:val="cy-GB"/>
        </w:rPr>
        <w:t xml:space="preserve">, </w:t>
      </w:r>
      <w:r w:rsidR="00C02B85">
        <w:rPr>
          <w:lang w:val="cy-GB"/>
        </w:rPr>
        <w:t>gall</w:t>
      </w:r>
      <w:r w:rsidR="00D33194" w:rsidRPr="005E4704">
        <w:rPr>
          <w:lang w:val="cy-GB"/>
        </w:rPr>
        <w:t xml:space="preserve"> contract</w:t>
      </w:r>
      <w:r w:rsidR="00C02B85">
        <w:rPr>
          <w:lang w:val="cy-GB"/>
        </w:rPr>
        <w:t>w</w:t>
      </w:r>
      <w:r w:rsidR="00D33194" w:rsidRPr="005E4704">
        <w:rPr>
          <w:lang w:val="cy-GB"/>
        </w:rPr>
        <w:t xml:space="preserve">r </w:t>
      </w:r>
      <w:r w:rsidR="00C02B85">
        <w:rPr>
          <w:lang w:val="cy-GB"/>
        </w:rPr>
        <w:t>gynnig neu wneud gwaith preifat am bris gostyngol er mwyn gwneud yn siŵr eu bod yn dal i fod cael derbyniad ar gyfer contractau’r dyfodol</w:t>
      </w:r>
      <w:r w:rsidR="00D33194" w:rsidRPr="005E4704">
        <w:rPr>
          <w:lang w:val="cy-GB"/>
        </w:rPr>
        <w:t xml:space="preserve">. </w:t>
      </w:r>
      <w:r w:rsidR="00C02B85">
        <w:rPr>
          <w:lang w:val="cy-GB"/>
        </w:rPr>
        <w:t>Gall hyn olygu bod gweithiwr cyflogedig yn cael budd breifat a allai greu gwrthdaro buddiannau posibl os ydynt hefyd yn gysylltiedig â gwneud penderfyniadau ar gyfer caffael nwyddau neu wasanaethau ar gyfer yr Ysgol</w:t>
      </w:r>
      <w:r w:rsidR="00D33194" w:rsidRPr="005E4704">
        <w:rPr>
          <w:lang w:val="cy-GB"/>
        </w:rPr>
        <w:t>.</w:t>
      </w:r>
    </w:p>
    <w:p w:rsidR="00D33194" w:rsidRPr="005E4704" w:rsidRDefault="00C02B85" w:rsidP="00F12E2A">
      <w:pPr>
        <w:pStyle w:val="Body"/>
        <w:rPr>
          <w:lang w:val="cy-GB"/>
        </w:rPr>
      </w:pPr>
      <w:r>
        <w:rPr>
          <w:lang w:val="cy-GB"/>
        </w:rPr>
        <w:t>Pe bai bod modd canfod bod y gwaith a berfformiwyd gan y contractwr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ar gyfer y gweithiwr cyflogedig yn wrthdaro buddiannau yna dylai’r gweithiwr cyflogedig hefyd wneud yn siŵr bod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y tâl am y gwaith preifat ar raddfa safonol a chyfraddau cyhoeddedig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Yn ogystal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dylai’r gweithiwr cyflogedig ddatgan ymgysylltiad y contractwr ar gyfer y gwaith preifat a/neu unrhyw berthynas gyda’r contractwr cyn roi unrhyw gontract yn y dyfodol ar gyfer caffael nwyddau neu wasanaethau ar gyfer yr Ysgol</w:t>
      </w:r>
      <w:r w:rsidR="00D33194" w:rsidRPr="005E4704">
        <w:rPr>
          <w:lang w:val="cy-GB"/>
        </w:rPr>
        <w:t>.</w:t>
      </w:r>
    </w:p>
    <w:p w:rsidR="00D33194" w:rsidRPr="005E4704" w:rsidRDefault="00C02B85" w:rsidP="00F12E2A">
      <w:pPr>
        <w:pStyle w:val="Body"/>
        <w:rPr>
          <w:lang w:val="cy-GB"/>
        </w:rPr>
      </w:pPr>
      <w:r>
        <w:rPr>
          <w:lang w:val="cy-GB"/>
        </w:rPr>
        <w:t>Er mwyn osgoi gwrthdaro buddiannau posibl neu ganfyddadwy ar gyfer caffael nwyddau neu wasanaethau argymhellir</w:t>
      </w:r>
      <w:r w:rsidR="00771853">
        <w:rPr>
          <w:lang w:val="cy-GB"/>
        </w:rPr>
        <w:t xml:space="preserve"> bod panel yn gwneud penderfyniadau caffael yn hytrach nag un </w:t>
      </w:r>
      <w:r w:rsidR="00D33194" w:rsidRPr="005E4704">
        <w:rPr>
          <w:lang w:val="cy-GB"/>
        </w:rPr>
        <w:t xml:space="preserve">person. </w:t>
      </w:r>
    </w:p>
    <w:p w:rsidR="00D33194" w:rsidRPr="005E4704" w:rsidRDefault="00771853" w:rsidP="00B3663C">
      <w:pPr>
        <w:pStyle w:val="Heading2"/>
        <w:rPr>
          <w:lang w:val="cy-GB"/>
        </w:rPr>
      </w:pPr>
      <w:r>
        <w:rPr>
          <w:lang w:val="cy-GB"/>
        </w:rPr>
        <w:t xml:space="preserve">Recriwtio </w:t>
      </w:r>
      <w:r w:rsidR="00D33194" w:rsidRPr="005E4704">
        <w:rPr>
          <w:lang w:val="cy-GB"/>
        </w:rPr>
        <w:t xml:space="preserve">Staff </w:t>
      </w:r>
    </w:p>
    <w:p w:rsidR="00D33194" w:rsidRPr="005E4704" w:rsidRDefault="00771853" w:rsidP="00F12E2A">
      <w:pPr>
        <w:pStyle w:val="Body"/>
        <w:spacing w:line="276" w:lineRule="auto"/>
        <w:rPr>
          <w:lang w:val="cy-GB"/>
        </w:rPr>
      </w:pPr>
      <w:r>
        <w:rPr>
          <w:lang w:val="cy-GB"/>
        </w:rPr>
        <w:t>Mae gwrthdaro buddiannau’n bodoli wrth recriwtio</w:t>
      </w:r>
      <w:r w:rsidR="00D33194" w:rsidRPr="005E4704">
        <w:rPr>
          <w:lang w:val="cy-GB"/>
        </w:rPr>
        <w:t xml:space="preserve"> person </w:t>
      </w:r>
      <w:r>
        <w:rPr>
          <w:lang w:val="cy-GB"/>
        </w:rPr>
        <w:t>y mae gan y gweithiwr cyflogedig gydberthynas proffesiynol/personol cyfredol neu un yn y gorffennol neu un y mae ganddynt fuddiant breintiedig yn ei recriwtio</w:t>
      </w:r>
      <w:r w:rsidR="00D33194" w:rsidRPr="005E4704">
        <w:rPr>
          <w:lang w:val="cy-GB"/>
        </w:rPr>
        <w:t>.</w:t>
      </w:r>
    </w:p>
    <w:p w:rsidR="00D33194" w:rsidRPr="005E4704" w:rsidRDefault="00771853" w:rsidP="00F12E2A">
      <w:pPr>
        <w:pStyle w:val="Body"/>
        <w:spacing w:line="276" w:lineRule="auto"/>
        <w:rPr>
          <w:lang w:val="cy-GB"/>
        </w:rPr>
      </w:pPr>
      <w:r>
        <w:rPr>
          <w:lang w:val="cy-GB"/>
        </w:rPr>
        <w:lastRenderedPageBreak/>
        <w:t>Lle bo gweithiwr cyflogedig yn rhan o banel recriwtio ac yn dod yn ymwybodol o gydberthynas o’r fath i ymgeisydd swydd, dylai ddweud wrth y pennaeth am y gwrthdaro buddiannau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 xml:space="preserve">Yna, bydd y pennaeth yn penderfynu ar gynllun rheoli gwrthdaro buddiannau </w:t>
      </w:r>
      <w:r w:rsidR="00D33194" w:rsidRPr="005E4704">
        <w:rPr>
          <w:lang w:val="cy-GB"/>
        </w:rPr>
        <w:t>(</w:t>
      </w:r>
      <w:r>
        <w:rPr>
          <w:lang w:val="cy-GB"/>
        </w:rPr>
        <w:t>gweler isod</w:t>
      </w:r>
      <w:r w:rsidR="00D33194" w:rsidRPr="005E4704">
        <w:rPr>
          <w:lang w:val="cy-GB"/>
        </w:rPr>
        <w:t xml:space="preserve"> ‘</w:t>
      </w:r>
      <w:r>
        <w:rPr>
          <w:lang w:val="cy-GB"/>
        </w:rPr>
        <w:t>Rheoli Gwrthdaro Buddiannau’</w:t>
      </w:r>
      <w:r w:rsidR="00D33194" w:rsidRPr="005E4704">
        <w:rPr>
          <w:lang w:val="cy-GB"/>
        </w:rPr>
        <w:t xml:space="preserve">) </w:t>
      </w:r>
      <w:r>
        <w:rPr>
          <w:lang w:val="cy-GB"/>
        </w:rPr>
        <w:t>mew</w:t>
      </w:r>
      <w:r w:rsidR="00D33194" w:rsidRPr="005E4704">
        <w:rPr>
          <w:lang w:val="cy-GB"/>
        </w:rPr>
        <w:t xml:space="preserve">n </w:t>
      </w:r>
      <w:r>
        <w:rPr>
          <w:lang w:val="cy-GB"/>
        </w:rPr>
        <w:t>ymgynghoriad â’r gweithiwr cyflogedig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er enghraifft, gallai’r gweithiwr cyflogedig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dynnu allan o’r panel recriwtio</w:t>
      </w:r>
      <w:r w:rsidR="00D33194" w:rsidRPr="005E4704">
        <w:rPr>
          <w:lang w:val="cy-GB"/>
        </w:rPr>
        <w:t>.</w:t>
      </w:r>
    </w:p>
    <w:p w:rsidR="00D33194" w:rsidRPr="005E4704" w:rsidRDefault="00771853" w:rsidP="00F12E2A">
      <w:pPr>
        <w:pStyle w:val="Heading10"/>
        <w:rPr>
          <w:lang w:val="cy-GB"/>
        </w:rPr>
      </w:pPr>
      <w:r>
        <w:rPr>
          <w:lang w:val="cy-GB"/>
        </w:rPr>
        <w:t xml:space="preserve">Adnabod a datgelu gwrthdaro buddiannau </w:t>
      </w:r>
    </w:p>
    <w:p w:rsidR="00D33194" w:rsidRPr="005E4704" w:rsidRDefault="00771853" w:rsidP="00F12E2A">
      <w:pPr>
        <w:pStyle w:val="Body"/>
        <w:rPr>
          <w:lang w:val="cy-GB"/>
        </w:rPr>
      </w:pPr>
      <w:r>
        <w:rPr>
          <w:lang w:val="cy-GB"/>
        </w:rPr>
        <w:t>Mae gan bob gweithiwr cyflogedig gyfrifoldeb parhaus i adnabod, datgan a rheoli unrhyw wrthdaro buddiannau posibl neu ganfyddadwy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 xml:space="preserve">sy’n </w:t>
      </w:r>
      <w:r w:rsidR="00B9033C">
        <w:rPr>
          <w:lang w:val="cy-GB"/>
        </w:rPr>
        <w:t>gymwys iddynt hwy</w:t>
      </w:r>
      <w:r w:rsidR="00D33194" w:rsidRPr="005E4704">
        <w:rPr>
          <w:lang w:val="cy-GB"/>
        </w:rPr>
        <w:t>.</w:t>
      </w:r>
    </w:p>
    <w:p w:rsidR="00D33194" w:rsidRPr="005E4704" w:rsidRDefault="00B9033C" w:rsidP="00F12E2A">
      <w:pPr>
        <w:pStyle w:val="Body"/>
        <w:rPr>
          <w:lang w:val="cy-GB"/>
        </w:rPr>
      </w:pPr>
      <w:r>
        <w:rPr>
          <w:lang w:val="cy-GB"/>
        </w:rPr>
        <w:t>Lle bo gweithiwr cyflogedig yn amau y gall fod ganddynt wrthdaro buddiannau posibl/ canfyddadwy/ gwirioneddol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rhaid i’r gweithiwr cyflogedig drafod unrhyw wrthdaro buddiannau gyda’r pennaeth a rhoi i’r pennaeth ffurflen Datganiad Gwrthdaro Buddiannau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Dylai gw</w:t>
      </w:r>
      <w:r w:rsidR="000A4B07">
        <w:rPr>
          <w:lang w:val="cy-GB"/>
        </w:rPr>
        <w:t>e</w:t>
      </w:r>
      <w:r>
        <w:rPr>
          <w:lang w:val="cy-GB"/>
        </w:rPr>
        <w:t>ithwyr cyflogedig gynnwys ar y ffurflen adrodd</w:t>
      </w:r>
      <w:r w:rsidRPr="005E4704">
        <w:rPr>
          <w:lang w:val="cy-GB"/>
        </w:rPr>
        <w:t xml:space="preserve"> </w:t>
      </w:r>
      <w:r>
        <w:rPr>
          <w:lang w:val="cy-GB"/>
        </w:rPr>
        <w:t>yr holl wybodaeth sy’n berthnasol i’r gwrthdaro buddiannau canfyddadwy fel y gall y pennaeth asesu’n llwyr a oes yna wrthdaro buddiannau mewn gwirionedd</w:t>
      </w:r>
      <w:r w:rsidR="00D33194" w:rsidRPr="005E4704">
        <w:rPr>
          <w:lang w:val="cy-GB"/>
        </w:rPr>
        <w:t>.</w:t>
      </w:r>
    </w:p>
    <w:p w:rsidR="00D33194" w:rsidRPr="005E4704" w:rsidRDefault="00B9033C" w:rsidP="00F12E2A">
      <w:pPr>
        <w:pStyle w:val="Body"/>
        <w:rPr>
          <w:lang w:val="cy-GB"/>
        </w:rPr>
      </w:pPr>
      <w:r>
        <w:rPr>
          <w:lang w:val="cy-GB"/>
        </w:rPr>
        <w:t>Gall fod yna amgylchiadau lle mae gwrthdaro buddiannau posibl/gwirioneddol/canfyddadwy’</w:t>
      </w:r>
      <w:r w:rsidR="00D33194" w:rsidRPr="005E4704">
        <w:rPr>
          <w:lang w:val="cy-GB"/>
        </w:rPr>
        <w:t xml:space="preserve">n </w:t>
      </w:r>
      <w:r>
        <w:rPr>
          <w:lang w:val="cy-GB"/>
        </w:rPr>
        <w:t>ymwneud â’r pennaeth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Mewn sefyllfa fel hyn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dylai’r pennaeth neu weithiwr cyflogedig arall drafod y mater yn uniongyrchol gyda’r cyflogwr</w:t>
      </w:r>
      <w:r w:rsidR="00D33194" w:rsidRPr="005E4704">
        <w:rPr>
          <w:lang w:val="cy-GB"/>
        </w:rPr>
        <w:t xml:space="preserve">. </w:t>
      </w:r>
    </w:p>
    <w:p w:rsidR="00D33194" w:rsidRPr="005E4704" w:rsidRDefault="00B9033C" w:rsidP="00F12E2A">
      <w:pPr>
        <w:pStyle w:val="Heading10"/>
        <w:rPr>
          <w:lang w:val="cy-GB"/>
        </w:rPr>
      </w:pPr>
      <w:r>
        <w:rPr>
          <w:lang w:val="cy-GB"/>
        </w:rPr>
        <w:t>Rheoli gwrthdaro buddiannau</w:t>
      </w:r>
    </w:p>
    <w:p w:rsidR="00D33194" w:rsidRPr="005E4704" w:rsidRDefault="00B9033C" w:rsidP="00F12E2A">
      <w:pPr>
        <w:pStyle w:val="Body"/>
        <w:rPr>
          <w:lang w:val="cy-GB"/>
        </w:rPr>
      </w:pPr>
      <w:r>
        <w:rPr>
          <w:lang w:val="cy-GB"/>
        </w:rPr>
        <w:t>Os yw’r pennaeth yn penderfynu bod yna wrthdaro buddiannau posibl/canfyddadwy/gwirioneddol, bydd y pennaeth yn paratoi a chynnig cynllun rheoli gwrthdaro buddiannau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Mae gan y gweithiwr cyflogedig gyfrifoldeb i drafod unrhyw gynllun rheoli gwrthdaro buddiaddau arfaethedig gyda’r pennaeth</w:t>
      </w:r>
      <w:r w:rsidR="00D33194" w:rsidRPr="005E4704">
        <w:rPr>
          <w:lang w:val="cy-GB"/>
        </w:rPr>
        <w:t>.</w:t>
      </w:r>
    </w:p>
    <w:p w:rsidR="00D33194" w:rsidRPr="005E4704" w:rsidRDefault="00B9033C" w:rsidP="00F12E2A">
      <w:pPr>
        <w:pStyle w:val="Body"/>
        <w:rPr>
          <w:lang w:val="cy-GB"/>
        </w:rPr>
      </w:pPr>
      <w:r>
        <w:rPr>
          <w:lang w:val="cy-GB"/>
        </w:rPr>
        <w:t>Bydd</w:t>
      </w:r>
      <w:r w:rsidR="000A4B07">
        <w:rPr>
          <w:lang w:val="cy-GB"/>
        </w:rPr>
        <w:t xml:space="preserve"> </w:t>
      </w:r>
      <w:r>
        <w:rPr>
          <w:lang w:val="cy-GB"/>
        </w:rPr>
        <w:t>y pennaeth yn ystyried unrhyw fewnbwn a all fod gan y gweithiwr cyflogedig</w:t>
      </w:r>
      <w:r w:rsidR="00D33194" w:rsidRPr="005E4704">
        <w:rPr>
          <w:lang w:val="cy-GB"/>
        </w:rPr>
        <w:t xml:space="preserve"> </w:t>
      </w:r>
      <w:r>
        <w:rPr>
          <w:lang w:val="cy-GB"/>
        </w:rPr>
        <w:t>mewn perthynas â’r cynllun rheoli arfaethedig</w:t>
      </w:r>
      <w:r w:rsidR="00D33194" w:rsidRPr="005E4704">
        <w:rPr>
          <w:lang w:val="cy-GB"/>
        </w:rPr>
        <w:t xml:space="preserve">, </w:t>
      </w:r>
      <w:r w:rsidR="008E6BBD">
        <w:rPr>
          <w:lang w:val="cy-GB"/>
        </w:rPr>
        <w:t>ond mae rhwymedigaeth ar y gweithiwr cyflogedig i ddilyn ar unrhyw gynllun rheoli gwrthdaro buddiannau y penderfynwyd arno gan y pennaeth</w:t>
      </w:r>
      <w:r w:rsidR="00D33194" w:rsidRPr="005E4704">
        <w:rPr>
          <w:lang w:val="cy-GB"/>
        </w:rPr>
        <w:t>.</w:t>
      </w:r>
    </w:p>
    <w:p w:rsidR="00D33194" w:rsidRPr="005E4704" w:rsidRDefault="008E6BBD" w:rsidP="00AC75D9">
      <w:pPr>
        <w:pStyle w:val="Body"/>
        <w:ind w:right="-143"/>
        <w:rPr>
          <w:lang w:val="cy-GB"/>
        </w:rPr>
      </w:pPr>
      <w:r>
        <w:rPr>
          <w:lang w:val="cy-GB"/>
        </w:rPr>
        <w:t>Gall fod yna amgylchiadau lle mae gwrthdaro buddiannau posib/gwirioneddol/canfyddadwy’n ymwneud â’r pennaeth</w:t>
      </w:r>
      <w:r w:rsidR="00D33194" w:rsidRPr="005E4704">
        <w:rPr>
          <w:lang w:val="cy-GB"/>
        </w:rPr>
        <w:t xml:space="preserve">. </w:t>
      </w:r>
      <w:r>
        <w:rPr>
          <w:lang w:val="cy-GB"/>
        </w:rPr>
        <w:t>Mewn sefyllfa fel hyn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bydd y pennaeth yn gweithio gyda’r gweithiwr cyflogedig i ddatblygu cynllun rheoli gwrthdaro buddiannau</w:t>
      </w:r>
      <w:r w:rsidR="00D33194" w:rsidRPr="005E4704">
        <w:rPr>
          <w:lang w:val="cy-GB"/>
        </w:rPr>
        <w:t xml:space="preserve">. </w:t>
      </w:r>
    </w:p>
    <w:p w:rsidR="00D33194" w:rsidRPr="005E4704" w:rsidRDefault="008E6BBD" w:rsidP="00F12E2A">
      <w:pPr>
        <w:pStyle w:val="Body"/>
        <w:spacing w:after="240"/>
        <w:rPr>
          <w:lang w:val="cy-GB"/>
        </w:rPr>
      </w:pPr>
      <w:r>
        <w:rPr>
          <w:lang w:val="cy-GB"/>
        </w:rPr>
        <w:t>Bydd cynlluniau rheoli gwrthdaro buddiannau’n gwneud yn siŵr bod unrhyw wrthdaro’n cael ei drin a’i ddatrys ar sail y strategaethau canlynol</w:t>
      </w:r>
      <w:r w:rsidR="00D33194" w:rsidRPr="005E4704">
        <w:rPr>
          <w:lang w:val="cy-GB"/>
        </w:rPr>
        <w:t>:</w:t>
      </w:r>
    </w:p>
    <w:tbl>
      <w:tblPr>
        <w:tblW w:w="9343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933"/>
      </w:tblGrid>
      <w:tr w:rsidR="00D33194" w:rsidRPr="005E4704" w:rsidTr="00F12E2A">
        <w:trPr>
          <w:trHeight w:val="554"/>
        </w:trPr>
        <w:tc>
          <w:tcPr>
            <w:tcW w:w="2410" w:type="dxa"/>
            <w:shd w:val="clear" w:color="auto" w:fill="F2F2F2" w:themeFill="background1" w:themeFillShade="F2"/>
          </w:tcPr>
          <w:p w:rsidR="00D33194" w:rsidRPr="005E4704" w:rsidRDefault="008E6BBD" w:rsidP="00AC75D9">
            <w:pPr>
              <w:pStyle w:val="TableParagraph"/>
              <w:spacing w:before="40" w:after="60" w:line="276" w:lineRule="auto"/>
              <w:ind w:left="102"/>
              <w:rPr>
                <w:rFonts w:cs="Arial"/>
                <w:b/>
                <w:szCs w:val="20"/>
                <w:lang w:val="cy-GB"/>
              </w:rPr>
            </w:pPr>
            <w:r>
              <w:rPr>
                <w:rFonts w:cs="Arial"/>
                <w:b/>
                <w:szCs w:val="20"/>
                <w:lang w:val="cy-GB"/>
              </w:rPr>
              <w:t>Cofnodi a datgelu</w:t>
            </w:r>
          </w:p>
        </w:tc>
        <w:tc>
          <w:tcPr>
            <w:tcW w:w="6933" w:type="dxa"/>
            <w:shd w:val="clear" w:color="auto" w:fill="auto"/>
          </w:tcPr>
          <w:p w:rsidR="00D33194" w:rsidRPr="005E4704" w:rsidRDefault="008E6BBD" w:rsidP="00AC75D9">
            <w:pPr>
              <w:pStyle w:val="TableParagraph"/>
              <w:spacing w:before="40" w:after="60" w:line="276" w:lineRule="auto"/>
              <w:ind w:left="105" w:right="146"/>
              <w:rPr>
                <w:rFonts w:cs="Arial"/>
                <w:szCs w:val="20"/>
                <w:lang w:val="cy-GB"/>
              </w:rPr>
            </w:pPr>
            <w:r>
              <w:rPr>
                <w:rFonts w:cs="Arial"/>
                <w:szCs w:val="20"/>
                <w:lang w:val="cy-GB"/>
              </w:rPr>
              <w:t>Sirchau bod yr holl wybodaeth sy’n ymwneud â’r gwrthdaro buddiannau wedi ei ddatgelu a’i ddogfennu mewn modd priodol</w:t>
            </w:r>
            <w:r w:rsidR="00D33194" w:rsidRPr="005E4704">
              <w:rPr>
                <w:rFonts w:cs="Arial"/>
                <w:szCs w:val="20"/>
                <w:lang w:val="cy-GB"/>
              </w:rPr>
              <w:t>.</w:t>
            </w:r>
          </w:p>
        </w:tc>
      </w:tr>
      <w:tr w:rsidR="00D33194" w:rsidRPr="005E4704" w:rsidTr="00F12E2A">
        <w:trPr>
          <w:trHeight w:val="760"/>
        </w:trPr>
        <w:tc>
          <w:tcPr>
            <w:tcW w:w="2410" w:type="dxa"/>
            <w:shd w:val="clear" w:color="auto" w:fill="F2F2F2" w:themeFill="background1" w:themeFillShade="F2"/>
          </w:tcPr>
          <w:p w:rsidR="00D33194" w:rsidRPr="005E4704" w:rsidRDefault="008E6BBD" w:rsidP="00AC75D9">
            <w:pPr>
              <w:pStyle w:val="TableParagraph"/>
              <w:spacing w:before="40" w:after="60" w:line="276" w:lineRule="auto"/>
              <w:ind w:left="102"/>
              <w:rPr>
                <w:rFonts w:cs="Arial"/>
                <w:b/>
                <w:szCs w:val="20"/>
                <w:lang w:val="cy-GB"/>
              </w:rPr>
            </w:pPr>
            <w:r>
              <w:rPr>
                <w:rFonts w:cs="Arial"/>
                <w:b/>
                <w:szCs w:val="20"/>
                <w:lang w:val="cy-GB"/>
              </w:rPr>
              <w:t>Cyfyngu</w:t>
            </w:r>
          </w:p>
        </w:tc>
        <w:tc>
          <w:tcPr>
            <w:tcW w:w="6933" w:type="dxa"/>
            <w:shd w:val="clear" w:color="auto" w:fill="auto"/>
          </w:tcPr>
          <w:p w:rsidR="00D33194" w:rsidRPr="005E4704" w:rsidRDefault="008E6BBD" w:rsidP="00AC75D9">
            <w:pPr>
              <w:pStyle w:val="TableParagraph"/>
              <w:spacing w:before="40" w:after="60" w:line="276" w:lineRule="auto"/>
              <w:ind w:left="105" w:right="133"/>
              <w:rPr>
                <w:rFonts w:cs="Arial"/>
                <w:szCs w:val="20"/>
                <w:lang w:val="cy-GB"/>
              </w:rPr>
            </w:pPr>
            <w:r>
              <w:rPr>
                <w:rFonts w:cs="Arial"/>
                <w:szCs w:val="20"/>
                <w:lang w:val="cy-GB"/>
              </w:rPr>
              <w:t xml:space="preserve">Rhoddir cyfyngiadau ar ymgysylltiad y gweithiwr cyflogedig ym mater neu rychwant y gwaith a’i ailfformiwleiddio neu </w:t>
            </w:r>
            <w:r w:rsidR="000A4B07">
              <w:rPr>
                <w:rFonts w:cs="Arial"/>
                <w:szCs w:val="20"/>
                <w:lang w:val="cy-GB"/>
              </w:rPr>
              <w:t>os ceir</w:t>
            </w:r>
            <w:r>
              <w:rPr>
                <w:rFonts w:cs="Arial"/>
                <w:szCs w:val="20"/>
                <w:lang w:val="cy-GB"/>
              </w:rPr>
              <w:t xml:space="preserve"> </w:t>
            </w:r>
            <w:r w:rsidR="000A4B07">
              <w:rPr>
                <w:rFonts w:cs="Arial"/>
                <w:szCs w:val="20"/>
                <w:lang w:val="cy-GB"/>
              </w:rPr>
              <w:t>cyfyngiad ar gyrchu peth gwybodaeth</w:t>
            </w:r>
            <w:r w:rsidR="00D33194" w:rsidRPr="005E4704">
              <w:rPr>
                <w:rFonts w:cs="Arial"/>
                <w:szCs w:val="20"/>
                <w:lang w:val="cy-GB"/>
              </w:rPr>
              <w:t>.</w:t>
            </w:r>
          </w:p>
        </w:tc>
      </w:tr>
      <w:tr w:rsidR="00D33194" w:rsidRPr="005E4704" w:rsidTr="00F12E2A">
        <w:trPr>
          <w:trHeight w:val="540"/>
        </w:trPr>
        <w:tc>
          <w:tcPr>
            <w:tcW w:w="2410" w:type="dxa"/>
            <w:shd w:val="clear" w:color="auto" w:fill="F2F2F2" w:themeFill="background1" w:themeFillShade="F2"/>
          </w:tcPr>
          <w:p w:rsidR="00D33194" w:rsidRPr="005E4704" w:rsidRDefault="00D33194" w:rsidP="00AC75D9">
            <w:pPr>
              <w:pStyle w:val="TableParagraph"/>
              <w:spacing w:before="40" w:after="60" w:line="276" w:lineRule="auto"/>
              <w:ind w:left="102"/>
              <w:rPr>
                <w:rFonts w:cs="Arial"/>
                <w:b/>
                <w:szCs w:val="20"/>
                <w:lang w:val="cy-GB"/>
              </w:rPr>
            </w:pPr>
            <w:r w:rsidRPr="005E4704">
              <w:rPr>
                <w:rFonts w:cs="Arial"/>
                <w:b/>
                <w:szCs w:val="20"/>
                <w:lang w:val="cy-GB"/>
              </w:rPr>
              <w:t>Recr</w:t>
            </w:r>
            <w:r w:rsidR="008E6BBD">
              <w:rPr>
                <w:rFonts w:cs="Arial"/>
                <w:b/>
                <w:szCs w:val="20"/>
                <w:lang w:val="cy-GB"/>
              </w:rPr>
              <w:t>iwtio</w:t>
            </w:r>
            <w:r w:rsidRPr="005E4704">
              <w:rPr>
                <w:rFonts w:cs="Arial"/>
                <w:b/>
                <w:szCs w:val="20"/>
                <w:lang w:val="cy-GB"/>
              </w:rPr>
              <w:t xml:space="preserve"> a monit</w:t>
            </w:r>
            <w:r w:rsidR="008E6BBD">
              <w:rPr>
                <w:rFonts w:cs="Arial"/>
                <w:b/>
                <w:szCs w:val="20"/>
                <w:lang w:val="cy-GB"/>
              </w:rPr>
              <w:t>ro</w:t>
            </w:r>
          </w:p>
        </w:tc>
        <w:tc>
          <w:tcPr>
            <w:tcW w:w="6933" w:type="dxa"/>
            <w:shd w:val="clear" w:color="auto" w:fill="auto"/>
          </w:tcPr>
          <w:p w:rsidR="00D33194" w:rsidRPr="005E4704" w:rsidRDefault="008E6BBD" w:rsidP="00AC75D9">
            <w:pPr>
              <w:pStyle w:val="TableParagraph"/>
              <w:spacing w:before="40" w:after="60" w:line="276" w:lineRule="auto"/>
              <w:ind w:left="105" w:right="386"/>
              <w:rPr>
                <w:rFonts w:cs="Arial"/>
                <w:szCs w:val="20"/>
                <w:lang w:val="cy-GB"/>
              </w:rPr>
            </w:pPr>
            <w:r>
              <w:rPr>
                <w:rFonts w:cs="Arial"/>
                <w:szCs w:val="20"/>
                <w:lang w:val="cy-GB"/>
              </w:rPr>
              <w:t>Defnyddir trydydd parti</w:t>
            </w:r>
            <w:r w:rsidR="00D33194" w:rsidRPr="005E4704">
              <w:rPr>
                <w:rFonts w:cs="Arial"/>
                <w:szCs w:val="20"/>
                <w:lang w:val="cy-GB"/>
              </w:rPr>
              <w:t xml:space="preserve"> </w:t>
            </w:r>
            <w:r>
              <w:rPr>
                <w:rFonts w:cs="Arial"/>
                <w:szCs w:val="20"/>
                <w:lang w:val="cy-GB"/>
              </w:rPr>
              <w:t>heb wrthdaro i oruchwylio rhan o’r broses neu’r cyfan ohono</w:t>
            </w:r>
            <w:r w:rsidR="00D33194" w:rsidRPr="005E4704">
              <w:rPr>
                <w:rFonts w:cs="Arial"/>
                <w:szCs w:val="20"/>
                <w:lang w:val="cy-GB"/>
              </w:rPr>
              <w:t xml:space="preserve"> </w:t>
            </w:r>
            <w:r>
              <w:rPr>
                <w:rFonts w:cs="Arial"/>
                <w:szCs w:val="20"/>
                <w:lang w:val="cy-GB"/>
              </w:rPr>
              <w:t>sy’n ymdrin â’r mater</w:t>
            </w:r>
            <w:r w:rsidR="00D33194" w:rsidRPr="005E4704">
              <w:rPr>
                <w:rFonts w:cs="Arial"/>
                <w:szCs w:val="20"/>
                <w:lang w:val="cy-GB"/>
              </w:rPr>
              <w:t>.</w:t>
            </w:r>
          </w:p>
        </w:tc>
      </w:tr>
      <w:tr w:rsidR="00D33194" w:rsidRPr="005E4704" w:rsidTr="00F12E2A">
        <w:trPr>
          <w:trHeight w:val="1378"/>
        </w:trPr>
        <w:tc>
          <w:tcPr>
            <w:tcW w:w="2410" w:type="dxa"/>
            <w:shd w:val="clear" w:color="auto" w:fill="F2F2F2" w:themeFill="background1" w:themeFillShade="F2"/>
          </w:tcPr>
          <w:p w:rsidR="00D33194" w:rsidRPr="005E4704" w:rsidRDefault="008E6BBD" w:rsidP="00AC75D9">
            <w:pPr>
              <w:pStyle w:val="TableParagraph"/>
              <w:spacing w:before="40" w:after="60" w:line="276" w:lineRule="auto"/>
              <w:ind w:left="102"/>
              <w:rPr>
                <w:rFonts w:cs="Arial"/>
                <w:b/>
                <w:szCs w:val="20"/>
                <w:lang w:val="cy-GB"/>
              </w:rPr>
            </w:pPr>
            <w:r>
              <w:rPr>
                <w:rFonts w:cs="Arial"/>
                <w:b/>
                <w:szCs w:val="20"/>
                <w:lang w:val="cy-GB"/>
              </w:rPr>
              <w:t>Tynnu allan</w:t>
            </w:r>
          </w:p>
        </w:tc>
        <w:tc>
          <w:tcPr>
            <w:tcW w:w="6933" w:type="dxa"/>
            <w:shd w:val="clear" w:color="auto" w:fill="auto"/>
          </w:tcPr>
          <w:p w:rsidR="00D33194" w:rsidRPr="005E4704" w:rsidRDefault="008E6BBD" w:rsidP="00AC75D9">
            <w:pPr>
              <w:pStyle w:val="TableParagraph"/>
              <w:spacing w:before="40" w:after="60" w:line="276" w:lineRule="auto"/>
              <w:ind w:left="105" w:right="173"/>
              <w:rPr>
                <w:rFonts w:cs="Arial"/>
                <w:szCs w:val="20"/>
                <w:lang w:val="cy-GB"/>
              </w:rPr>
            </w:pPr>
            <w:r>
              <w:rPr>
                <w:rFonts w:cs="Arial"/>
                <w:szCs w:val="20"/>
                <w:lang w:val="cy-GB"/>
              </w:rPr>
              <w:t>Mae’r gweithiwr cyflogedig yn tynnu ei hun allan, neu’n cael ei dynnu allan, o’r mater</w:t>
            </w:r>
            <w:r w:rsidR="00D33194" w:rsidRPr="005E4704">
              <w:rPr>
                <w:rFonts w:cs="Arial"/>
                <w:szCs w:val="20"/>
                <w:lang w:val="cy-GB"/>
              </w:rPr>
              <w:t xml:space="preserve">. </w:t>
            </w:r>
            <w:r>
              <w:rPr>
                <w:rFonts w:cs="Arial"/>
                <w:szCs w:val="20"/>
                <w:lang w:val="cy-GB"/>
              </w:rPr>
              <w:t>Er enghraifft</w:t>
            </w:r>
            <w:r w:rsidR="00D33194" w:rsidRPr="005E4704">
              <w:rPr>
                <w:rFonts w:cs="Arial"/>
                <w:szCs w:val="20"/>
                <w:lang w:val="cy-GB"/>
              </w:rPr>
              <w:t xml:space="preserve">, </w:t>
            </w:r>
            <w:r>
              <w:rPr>
                <w:rFonts w:cs="Arial"/>
                <w:szCs w:val="20"/>
                <w:lang w:val="cy-GB"/>
              </w:rPr>
              <w:t>mewn sefyllfa lle mae ymgeisydd swydd yn perthyn i aelod o’r panel recriwtio ar gyfer y swydd honn</w:t>
            </w:r>
            <w:r w:rsidR="00C87D26">
              <w:rPr>
                <w:rFonts w:cs="Arial"/>
                <w:szCs w:val="20"/>
                <w:lang w:val="cy-GB"/>
              </w:rPr>
              <w:t>o, cynllun rheoli gwrthdaro buddiannau ar gyfer yr aelod panel hwnnw fyddai camu’n ôl o’i swydd dros gyfnod y broses ddewis ar gyfer y swydd honno’n unig</w:t>
            </w:r>
            <w:r w:rsidR="00D33194" w:rsidRPr="005E4704">
              <w:rPr>
                <w:rFonts w:cs="Arial"/>
                <w:szCs w:val="20"/>
                <w:lang w:val="cy-GB"/>
              </w:rPr>
              <w:t>.</w:t>
            </w:r>
          </w:p>
        </w:tc>
      </w:tr>
      <w:tr w:rsidR="00D33194" w:rsidRPr="005E4704" w:rsidTr="00AC75D9">
        <w:trPr>
          <w:trHeight w:val="361"/>
        </w:trPr>
        <w:tc>
          <w:tcPr>
            <w:tcW w:w="2410" w:type="dxa"/>
            <w:shd w:val="clear" w:color="auto" w:fill="F2F2F2" w:themeFill="background1" w:themeFillShade="F2"/>
          </w:tcPr>
          <w:p w:rsidR="00D33194" w:rsidRPr="005E4704" w:rsidRDefault="008E6BBD" w:rsidP="00AC75D9">
            <w:pPr>
              <w:pStyle w:val="TableParagraph"/>
              <w:spacing w:before="40" w:after="60" w:line="276" w:lineRule="auto"/>
              <w:ind w:left="102"/>
              <w:rPr>
                <w:rFonts w:cs="Arial"/>
                <w:b/>
                <w:szCs w:val="20"/>
                <w:lang w:val="cy-GB"/>
              </w:rPr>
            </w:pPr>
            <w:r>
              <w:rPr>
                <w:rFonts w:cs="Arial"/>
                <w:b/>
                <w:szCs w:val="20"/>
                <w:lang w:val="cy-GB"/>
              </w:rPr>
              <w:t>Ildio</w:t>
            </w:r>
          </w:p>
        </w:tc>
        <w:tc>
          <w:tcPr>
            <w:tcW w:w="6933" w:type="dxa"/>
            <w:shd w:val="clear" w:color="auto" w:fill="auto"/>
          </w:tcPr>
          <w:p w:rsidR="00D33194" w:rsidRPr="005E4704" w:rsidRDefault="00C87D26" w:rsidP="00AC75D9">
            <w:pPr>
              <w:pStyle w:val="TableParagraph"/>
              <w:spacing w:before="40" w:after="60" w:line="276" w:lineRule="auto"/>
              <w:ind w:left="105" w:right="173"/>
              <w:rPr>
                <w:rFonts w:cs="Arial"/>
                <w:szCs w:val="20"/>
                <w:lang w:val="cy-GB"/>
              </w:rPr>
            </w:pPr>
            <w:r>
              <w:rPr>
                <w:rFonts w:cs="Arial"/>
                <w:szCs w:val="20"/>
                <w:lang w:val="cy-GB"/>
              </w:rPr>
              <w:t>M</w:t>
            </w:r>
            <w:r w:rsidR="000A4B07">
              <w:rPr>
                <w:rFonts w:cs="Arial"/>
                <w:szCs w:val="20"/>
                <w:lang w:val="cy-GB"/>
              </w:rPr>
              <w:t>a</w:t>
            </w:r>
            <w:r>
              <w:rPr>
                <w:rFonts w:cs="Arial"/>
                <w:szCs w:val="20"/>
                <w:lang w:val="cy-GB"/>
              </w:rPr>
              <w:t>e’r gweithiwr cyflogedig yn ildio’r budd preifat sy’n creu’r gwrthdaro. Lle nad yw’n bosibl ildio’r budd</w:t>
            </w:r>
            <w:r w:rsidR="00D33194" w:rsidRPr="005E4704">
              <w:rPr>
                <w:rFonts w:cs="Arial"/>
                <w:szCs w:val="20"/>
                <w:lang w:val="cy-GB"/>
              </w:rPr>
              <w:t xml:space="preserve"> (e.</w:t>
            </w:r>
            <w:r>
              <w:rPr>
                <w:rFonts w:cs="Arial"/>
                <w:szCs w:val="20"/>
                <w:lang w:val="cy-GB"/>
              </w:rPr>
              <w:t>e</w:t>
            </w:r>
            <w:r w:rsidR="00D33194" w:rsidRPr="005E4704">
              <w:rPr>
                <w:rFonts w:cs="Arial"/>
                <w:szCs w:val="20"/>
                <w:lang w:val="cy-GB"/>
              </w:rPr>
              <w:t xml:space="preserve">. </w:t>
            </w:r>
            <w:r>
              <w:rPr>
                <w:rFonts w:cs="Arial"/>
                <w:szCs w:val="20"/>
                <w:lang w:val="cy-GB"/>
              </w:rPr>
              <w:t>cydberthynas gyda theulu</w:t>
            </w:r>
            <w:r w:rsidR="00D33194" w:rsidRPr="005E4704">
              <w:rPr>
                <w:rFonts w:cs="Arial"/>
                <w:szCs w:val="20"/>
                <w:lang w:val="cy-GB"/>
              </w:rPr>
              <w:t xml:space="preserve">) </w:t>
            </w:r>
            <w:r>
              <w:rPr>
                <w:rFonts w:cs="Arial"/>
                <w:szCs w:val="20"/>
                <w:lang w:val="cy-GB"/>
              </w:rPr>
              <w:t>ac ni ellir rheoli’r gwrthdaro trwy ddefnyddio un o’r dewisiadau eraill uchod</w:t>
            </w:r>
            <w:r w:rsidR="00D33194" w:rsidRPr="005E4704">
              <w:rPr>
                <w:rFonts w:cs="Arial"/>
                <w:szCs w:val="20"/>
                <w:lang w:val="cy-GB"/>
              </w:rPr>
              <w:t xml:space="preserve">, </w:t>
            </w:r>
            <w:r>
              <w:rPr>
                <w:rFonts w:cs="Arial"/>
                <w:szCs w:val="20"/>
                <w:lang w:val="cy-GB"/>
              </w:rPr>
              <w:t xml:space="preserve">gallai’r </w:t>
            </w:r>
            <w:r>
              <w:rPr>
                <w:rFonts w:cs="Arial"/>
                <w:szCs w:val="20"/>
                <w:lang w:val="cy-GB"/>
              </w:rPr>
              <w:lastRenderedPageBreak/>
              <w:t>gweithiwr cyflogedig ystyried tynnu ei hun o’r broses</w:t>
            </w:r>
            <w:r w:rsidR="00D33194" w:rsidRPr="005E4704">
              <w:rPr>
                <w:rFonts w:cs="Arial"/>
                <w:szCs w:val="20"/>
                <w:lang w:val="cy-GB"/>
              </w:rPr>
              <w:t>.</w:t>
            </w:r>
          </w:p>
        </w:tc>
      </w:tr>
    </w:tbl>
    <w:p w:rsidR="00D33194" w:rsidRPr="005E4704" w:rsidRDefault="00C87D26" w:rsidP="00CB3EEC">
      <w:pPr>
        <w:pStyle w:val="Body"/>
        <w:spacing w:before="160"/>
        <w:rPr>
          <w:lang w:val="cy-GB"/>
        </w:rPr>
      </w:pPr>
      <w:r>
        <w:rPr>
          <w:lang w:val="cy-GB"/>
        </w:rPr>
        <w:lastRenderedPageBreak/>
        <w:t>Dylid adolygu’n rheolaidd y cynlluniau rheoli gwrthdaro buddiannau sydd yn y ffurflen Datgan Gwrthdaro Buddiannau er mwyn gwneud yn siŵr eu bod yn dal i fod yn effeithiol.</w:t>
      </w:r>
    </w:p>
    <w:p w:rsidR="00D33194" w:rsidRPr="005E4704" w:rsidRDefault="00D33194" w:rsidP="00F12E2A">
      <w:pPr>
        <w:pStyle w:val="Heading10"/>
        <w:rPr>
          <w:lang w:val="cy-GB"/>
        </w:rPr>
      </w:pPr>
      <w:r w:rsidRPr="005E4704">
        <w:rPr>
          <w:lang w:val="cy-GB"/>
        </w:rPr>
        <w:t>C</w:t>
      </w:r>
      <w:r w:rsidR="00C87D26">
        <w:rPr>
          <w:lang w:val="cy-GB"/>
        </w:rPr>
        <w:t>anlyniadau torri’r polisi hwn</w:t>
      </w:r>
      <w:r w:rsidRPr="005E4704">
        <w:rPr>
          <w:lang w:val="cy-GB"/>
        </w:rPr>
        <w:t xml:space="preserve"> </w:t>
      </w:r>
    </w:p>
    <w:p w:rsidR="00D33194" w:rsidRPr="005E4704" w:rsidRDefault="00C87D26" w:rsidP="00F12E2A">
      <w:pPr>
        <w:pStyle w:val="Body"/>
        <w:rPr>
          <w:lang w:val="cy-GB"/>
        </w:rPr>
      </w:pPr>
      <w:r>
        <w:rPr>
          <w:lang w:val="cy-GB"/>
        </w:rPr>
        <w:t>Nid yw gwrthdaro buddiannau yn eu hunain yn anfoesegol neu’n groes i’r polisi hwn. Ond, os yw gweithiwr cyflogedig yn methu adnabod</w:t>
      </w:r>
      <w:r w:rsidR="00D33194" w:rsidRPr="005E4704">
        <w:rPr>
          <w:lang w:val="cy-GB"/>
        </w:rPr>
        <w:t xml:space="preserve"> (</w:t>
      </w:r>
      <w:r>
        <w:rPr>
          <w:lang w:val="cy-GB"/>
        </w:rPr>
        <w:t>neu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lle go angen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reoli</w:t>
      </w:r>
      <w:r w:rsidR="00D33194" w:rsidRPr="005E4704">
        <w:rPr>
          <w:lang w:val="cy-GB"/>
        </w:rPr>
        <w:t>/monito</w:t>
      </w:r>
      <w:r>
        <w:rPr>
          <w:lang w:val="cy-GB"/>
        </w:rPr>
        <w:t>ro</w:t>
      </w:r>
      <w:r w:rsidR="00D33194" w:rsidRPr="005E4704">
        <w:rPr>
          <w:lang w:val="cy-GB"/>
        </w:rPr>
        <w:t xml:space="preserve">) </w:t>
      </w:r>
      <w:r>
        <w:rPr>
          <w:lang w:val="cy-GB"/>
        </w:rPr>
        <w:t>unrhyw wrthdaro buddiannau gwirioneddol/canfyddadwy/posibl</w:t>
      </w:r>
      <w:r w:rsidR="00D33194" w:rsidRPr="005E4704">
        <w:rPr>
          <w:lang w:val="cy-GB"/>
        </w:rPr>
        <w:t xml:space="preserve">, </w:t>
      </w:r>
      <w:r>
        <w:rPr>
          <w:lang w:val="cy-GB"/>
        </w:rPr>
        <w:t>gall hyn arwain at gamau disgyblaethol neu, yn ddibynnol ar ddifrifoldeb yr amgylchiadau, terfynu’r gyflogaeth</w:t>
      </w:r>
      <w:r w:rsidR="00D33194" w:rsidRPr="005E4704">
        <w:rPr>
          <w:lang w:val="cy-GB"/>
        </w:rPr>
        <w:t>.</w:t>
      </w:r>
    </w:p>
    <w:p w:rsidR="00D33194" w:rsidRPr="005E4704" w:rsidRDefault="00C87D26" w:rsidP="00F12E2A">
      <w:pPr>
        <w:pStyle w:val="Body"/>
        <w:rPr>
          <w:lang w:val="cy-GB"/>
        </w:rPr>
      </w:pPr>
      <w:r>
        <w:rPr>
          <w:lang w:val="cy-GB"/>
        </w:rPr>
        <w:t>Rhaid i weithwyr cyflogedig fod yn ymwybodol hefyd o bolisïau, cyfarwyddyd a chodau ymddwyn amrywiol yr ysgol y cyfeirir atynt yn y polisi hwn sy’n berthnasol i wrthdaro buddiannau</w:t>
      </w:r>
      <w:r w:rsidR="00D33194" w:rsidRPr="005E4704">
        <w:rPr>
          <w:lang w:val="cy-GB"/>
        </w:rPr>
        <w:t>.</w:t>
      </w:r>
    </w:p>
    <w:p w:rsidR="00D33194" w:rsidRPr="005E4704" w:rsidRDefault="00C87D26" w:rsidP="00F12E2A">
      <w:pPr>
        <w:pStyle w:val="Heading10"/>
        <w:rPr>
          <w:lang w:val="cy-GB"/>
        </w:rPr>
      </w:pPr>
      <w:r>
        <w:rPr>
          <w:lang w:val="cy-GB"/>
        </w:rPr>
        <w:t>Rhestr wirio gwrthdaro buddiannau ar gyfer gweithwyr cyflogedig</w:t>
      </w:r>
      <w:r w:rsidR="00D33194" w:rsidRPr="005E4704">
        <w:rPr>
          <w:lang w:val="cy-GB"/>
        </w:rPr>
        <w:t xml:space="preserve"> </w:t>
      </w:r>
    </w:p>
    <w:p w:rsidR="00D33194" w:rsidRPr="005E4704" w:rsidRDefault="00C87D26" w:rsidP="00CB3EEC">
      <w:pPr>
        <w:pStyle w:val="List"/>
        <w:numPr>
          <w:ilvl w:val="0"/>
          <w:numId w:val="7"/>
        </w:numPr>
        <w:ind w:hanging="472"/>
        <w:rPr>
          <w:lang w:val="cy-GB"/>
        </w:rPr>
      </w:pPr>
      <w:r>
        <w:rPr>
          <w:lang w:val="cy-GB"/>
        </w:rPr>
        <w:t>Cwblhau’r ffurflen Datgan Gwrthdaro Buddiannau neu’r ffurflen</w:t>
      </w:r>
      <w:r w:rsidR="006825E8">
        <w:rPr>
          <w:lang w:val="cy-GB"/>
        </w:rPr>
        <w:t xml:space="preserve"> Datgan Rhodd/Budd</w:t>
      </w:r>
      <w:r w:rsidR="00D33194" w:rsidRPr="005E4704">
        <w:rPr>
          <w:lang w:val="cy-GB"/>
        </w:rPr>
        <w:t>.</w:t>
      </w:r>
    </w:p>
    <w:p w:rsidR="00D33194" w:rsidRPr="005E4704" w:rsidRDefault="006825E8" w:rsidP="00CB3EEC">
      <w:pPr>
        <w:pStyle w:val="List"/>
        <w:numPr>
          <w:ilvl w:val="0"/>
          <w:numId w:val="7"/>
        </w:numPr>
        <w:ind w:hanging="472"/>
        <w:rPr>
          <w:lang w:val="cy-GB"/>
        </w:rPr>
      </w:pPr>
      <w:r>
        <w:rPr>
          <w:lang w:val="cy-GB"/>
        </w:rPr>
        <w:t>Trafod amgylchiadau’r sefyllfa o wrthdaro buddiannau gyda’r pennaeth neu gyflogwr</w:t>
      </w:r>
      <w:r w:rsidR="00D33194" w:rsidRPr="005E4704">
        <w:rPr>
          <w:lang w:val="cy-GB"/>
        </w:rPr>
        <w:t>.</w:t>
      </w:r>
    </w:p>
    <w:p w:rsidR="00D33194" w:rsidRPr="005E4704" w:rsidRDefault="006825E8" w:rsidP="00CB3EEC">
      <w:pPr>
        <w:pStyle w:val="List"/>
        <w:numPr>
          <w:ilvl w:val="0"/>
          <w:numId w:val="7"/>
        </w:numPr>
        <w:ind w:hanging="472"/>
        <w:rPr>
          <w:lang w:val="cy-GB"/>
        </w:rPr>
      </w:pPr>
      <w:r>
        <w:rPr>
          <w:lang w:val="cy-GB"/>
        </w:rPr>
        <w:t>Dilyn y cynllun</w:t>
      </w:r>
      <w:r w:rsidR="000A4B07">
        <w:rPr>
          <w:lang w:val="cy-GB"/>
        </w:rPr>
        <w:t xml:space="preserve"> </w:t>
      </w:r>
      <w:bookmarkStart w:id="4" w:name="_GoBack"/>
      <w:bookmarkEnd w:id="4"/>
      <w:r>
        <w:rPr>
          <w:lang w:val="cy-GB"/>
        </w:rPr>
        <w:t>rheoli gwrthdaro buddiannau y penderfynwyd arno gan y pennaeth neu gyflogwr</w:t>
      </w:r>
      <w:r w:rsidR="00D33194" w:rsidRPr="005E4704">
        <w:rPr>
          <w:lang w:val="cy-GB"/>
        </w:rPr>
        <w:t>.</w:t>
      </w:r>
    </w:p>
    <w:p w:rsidR="00D33194" w:rsidRPr="005E4704" w:rsidRDefault="00D33194" w:rsidP="00CB3EEC">
      <w:pPr>
        <w:pStyle w:val="List"/>
        <w:numPr>
          <w:ilvl w:val="0"/>
          <w:numId w:val="7"/>
        </w:numPr>
        <w:ind w:hanging="472"/>
        <w:rPr>
          <w:lang w:val="cy-GB"/>
        </w:rPr>
      </w:pPr>
      <w:r w:rsidRPr="005E4704">
        <w:rPr>
          <w:lang w:val="cy-GB"/>
        </w:rPr>
        <w:t>Monitr</w:t>
      </w:r>
      <w:r w:rsidR="006825E8">
        <w:rPr>
          <w:lang w:val="cy-GB"/>
        </w:rPr>
        <w:t>o’r sefyllfa o wrthdaro buddiannau yn barhaus, ac hysbysu’r pennaeth neu gyflogwr am unrhyw newid i amgylchiadau’r</w:t>
      </w:r>
      <w:r w:rsidRPr="005E4704">
        <w:rPr>
          <w:lang w:val="cy-GB"/>
        </w:rPr>
        <w:t xml:space="preserve"> </w:t>
      </w:r>
      <w:r w:rsidR="006825E8">
        <w:rPr>
          <w:lang w:val="cy-GB"/>
        </w:rPr>
        <w:t>sefyllfa o wrthdaro buddiannau</w:t>
      </w:r>
      <w:r w:rsidRPr="005E4704">
        <w:rPr>
          <w:lang w:val="cy-GB"/>
        </w:rPr>
        <w:t>.</w:t>
      </w:r>
    </w:p>
    <w:p w:rsidR="00D33194" w:rsidRPr="005E4704" w:rsidRDefault="00D33194" w:rsidP="00F12E2A">
      <w:pPr>
        <w:pStyle w:val="Body"/>
        <w:rPr>
          <w:lang w:val="cy-GB"/>
        </w:rPr>
      </w:pPr>
    </w:p>
    <w:sectPr w:rsidR="00D33194" w:rsidRPr="005E4704" w:rsidSect="00F12E2A">
      <w:footerReference w:type="default" r:id="rId12"/>
      <w:pgSz w:w="11906" w:h="16838"/>
      <w:pgMar w:top="1134" w:right="1134" w:bottom="1134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B2D" w:rsidRDefault="00527B2D">
      <w:r>
        <w:separator/>
      </w:r>
    </w:p>
  </w:endnote>
  <w:endnote w:type="continuationSeparator" w:id="0">
    <w:p w:rsidR="00527B2D" w:rsidRDefault="0052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panose1 w:val="020B0604020202020204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BD" w:rsidRPr="005E4704" w:rsidRDefault="008E6BBD">
    <w:pPr>
      <w:pStyle w:val="Footer"/>
      <w:rPr>
        <w:rFonts w:cs="Arial"/>
        <w:color w:val="595959" w:themeColor="text1" w:themeTint="A6"/>
        <w:sz w:val="14"/>
        <w:szCs w:val="14"/>
        <w:lang w:val="cy-GB"/>
      </w:rPr>
    </w:pPr>
    <w:r>
      <w:rPr>
        <w:rFonts w:cs="Arial"/>
        <w:color w:val="595959" w:themeColor="text1" w:themeTint="A6"/>
        <w:sz w:val="14"/>
        <w:szCs w:val="14"/>
        <w:lang w:val="cy-GB"/>
      </w:rPr>
      <w:t>TUDALEN</w:t>
    </w:r>
    <w:r w:rsidRPr="005E4704">
      <w:rPr>
        <w:rFonts w:cs="Arial"/>
        <w:color w:val="595959" w:themeColor="text1" w:themeTint="A6"/>
        <w:sz w:val="14"/>
        <w:szCs w:val="14"/>
        <w:lang w:val="cy-GB"/>
      </w:rPr>
      <w:t xml:space="preserve"> </w:t>
    </w:r>
    <w:r w:rsidRPr="005E4704">
      <w:rPr>
        <w:rFonts w:cs="Arial"/>
        <w:color w:val="595959" w:themeColor="text1" w:themeTint="A6"/>
        <w:sz w:val="14"/>
        <w:szCs w:val="14"/>
        <w:lang w:val="cy-GB"/>
      </w:rPr>
      <w:fldChar w:fldCharType="begin"/>
    </w:r>
    <w:r w:rsidRPr="005E4704">
      <w:rPr>
        <w:rFonts w:cs="Arial"/>
        <w:color w:val="595959" w:themeColor="text1" w:themeTint="A6"/>
        <w:sz w:val="14"/>
        <w:szCs w:val="14"/>
        <w:lang w:val="cy-GB"/>
      </w:rPr>
      <w:instrText xml:space="preserve"> PAGE </w:instrText>
    </w:r>
    <w:r w:rsidRPr="005E4704">
      <w:rPr>
        <w:rFonts w:cs="Arial"/>
        <w:color w:val="595959" w:themeColor="text1" w:themeTint="A6"/>
        <w:sz w:val="14"/>
        <w:szCs w:val="14"/>
        <w:lang w:val="cy-GB"/>
      </w:rPr>
      <w:fldChar w:fldCharType="separate"/>
    </w:r>
    <w:r w:rsidRPr="005E4704">
      <w:rPr>
        <w:rFonts w:cs="Arial"/>
        <w:noProof/>
        <w:color w:val="595959" w:themeColor="text1" w:themeTint="A6"/>
        <w:sz w:val="14"/>
        <w:szCs w:val="14"/>
        <w:lang w:val="cy-GB"/>
      </w:rPr>
      <w:t>4</w:t>
    </w:r>
    <w:r w:rsidRPr="005E4704">
      <w:rPr>
        <w:rFonts w:cs="Arial"/>
        <w:color w:val="595959" w:themeColor="text1" w:themeTint="A6"/>
        <w:sz w:val="14"/>
        <w:szCs w:val="14"/>
        <w:lang w:val="cy-GB"/>
      </w:rPr>
      <w:fldChar w:fldCharType="end"/>
    </w:r>
    <w:r w:rsidRPr="005E4704">
      <w:rPr>
        <w:rFonts w:cs="Arial"/>
        <w:color w:val="595959" w:themeColor="text1" w:themeTint="A6"/>
        <w:sz w:val="14"/>
        <w:szCs w:val="14"/>
        <w:lang w:val="cy-GB"/>
      </w:rPr>
      <w:t xml:space="preserve"> O </w:t>
    </w:r>
    <w:r w:rsidRPr="005E4704">
      <w:rPr>
        <w:rFonts w:cs="Arial"/>
        <w:color w:val="595959" w:themeColor="text1" w:themeTint="A6"/>
        <w:sz w:val="14"/>
        <w:szCs w:val="14"/>
        <w:lang w:val="cy-GB"/>
      </w:rPr>
      <w:fldChar w:fldCharType="begin"/>
    </w:r>
    <w:r w:rsidRPr="005E4704">
      <w:rPr>
        <w:rFonts w:cs="Arial"/>
        <w:color w:val="595959" w:themeColor="text1" w:themeTint="A6"/>
        <w:sz w:val="14"/>
        <w:szCs w:val="14"/>
        <w:lang w:val="cy-GB"/>
      </w:rPr>
      <w:instrText xml:space="preserve"> NUMPAGES </w:instrText>
    </w:r>
    <w:r w:rsidRPr="005E4704">
      <w:rPr>
        <w:rFonts w:cs="Arial"/>
        <w:color w:val="595959" w:themeColor="text1" w:themeTint="A6"/>
        <w:sz w:val="14"/>
        <w:szCs w:val="14"/>
        <w:lang w:val="cy-GB"/>
      </w:rPr>
      <w:fldChar w:fldCharType="separate"/>
    </w:r>
    <w:r w:rsidRPr="005E4704">
      <w:rPr>
        <w:rFonts w:cs="Arial"/>
        <w:noProof/>
        <w:color w:val="595959" w:themeColor="text1" w:themeTint="A6"/>
        <w:sz w:val="14"/>
        <w:szCs w:val="14"/>
        <w:lang w:val="cy-GB"/>
      </w:rPr>
      <w:t>6</w:t>
    </w:r>
    <w:r w:rsidRPr="005E4704">
      <w:rPr>
        <w:rFonts w:cs="Arial"/>
        <w:color w:val="595959" w:themeColor="text1" w:themeTint="A6"/>
        <w:sz w:val="14"/>
        <w:szCs w:val="14"/>
        <w:lang w:val="cy-GB"/>
      </w:rPr>
      <w:fldChar w:fldCharType="end"/>
    </w:r>
    <w:r w:rsidRPr="005E4704">
      <w:rPr>
        <w:rFonts w:cs="Arial"/>
        <w:color w:val="595959" w:themeColor="text1" w:themeTint="A6"/>
        <w:sz w:val="14"/>
        <w:szCs w:val="14"/>
        <w:lang w:val="cy-GB"/>
      </w:rPr>
      <w:t xml:space="preserve">  |  </w:t>
    </w:r>
    <w:r>
      <w:rPr>
        <w:rFonts w:cs="Arial"/>
        <w:color w:val="595959" w:themeColor="text1" w:themeTint="A6"/>
        <w:sz w:val="14"/>
        <w:szCs w:val="14"/>
        <w:lang w:val="cy-GB"/>
      </w:rPr>
      <w:t>POLISI GWRTHDARO BUDDIANNAU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B2D" w:rsidRDefault="00527B2D">
      <w:r>
        <w:separator/>
      </w:r>
    </w:p>
  </w:footnote>
  <w:footnote w:type="continuationSeparator" w:id="0">
    <w:p w:rsidR="00527B2D" w:rsidRDefault="00527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B68"/>
    <w:multiLevelType w:val="hybridMultilevel"/>
    <w:tmpl w:val="7E9CA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715"/>
    <w:multiLevelType w:val="hybridMultilevel"/>
    <w:tmpl w:val="832E0720"/>
    <w:lvl w:ilvl="0" w:tplc="D8141A9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D1621AE">
      <w:numFmt w:val="bullet"/>
      <w:lvlText w:val="○"/>
      <w:lvlJc w:val="left"/>
      <w:pPr>
        <w:ind w:left="784" w:hanging="212"/>
      </w:pPr>
      <w:rPr>
        <w:rFonts w:ascii="Arial" w:eastAsia="Arial" w:hAnsi="Arial" w:cs="Arial" w:hint="default"/>
        <w:w w:val="100"/>
        <w:sz w:val="24"/>
        <w:szCs w:val="24"/>
      </w:rPr>
    </w:lvl>
    <w:lvl w:ilvl="2" w:tplc="675CCD66">
      <w:numFmt w:val="bullet"/>
      <w:lvlText w:val="•"/>
      <w:lvlJc w:val="left"/>
      <w:pPr>
        <w:ind w:left="1843" w:hanging="212"/>
      </w:pPr>
      <w:rPr>
        <w:rFonts w:hint="default"/>
      </w:rPr>
    </w:lvl>
    <w:lvl w:ilvl="3" w:tplc="3F60C402">
      <w:numFmt w:val="bullet"/>
      <w:lvlText w:val="•"/>
      <w:lvlJc w:val="left"/>
      <w:pPr>
        <w:ind w:left="2846" w:hanging="212"/>
      </w:pPr>
      <w:rPr>
        <w:rFonts w:hint="default"/>
      </w:rPr>
    </w:lvl>
    <w:lvl w:ilvl="4" w:tplc="08D8C6AC">
      <w:numFmt w:val="bullet"/>
      <w:lvlText w:val="•"/>
      <w:lvlJc w:val="left"/>
      <w:pPr>
        <w:ind w:left="3850" w:hanging="212"/>
      </w:pPr>
      <w:rPr>
        <w:rFonts w:hint="default"/>
      </w:rPr>
    </w:lvl>
    <w:lvl w:ilvl="5" w:tplc="5998861C">
      <w:numFmt w:val="bullet"/>
      <w:lvlText w:val="•"/>
      <w:lvlJc w:val="left"/>
      <w:pPr>
        <w:ind w:left="4853" w:hanging="212"/>
      </w:pPr>
      <w:rPr>
        <w:rFonts w:hint="default"/>
      </w:rPr>
    </w:lvl>
    <w:lvl w:ilvl="6" w:tplc="3EF6BBF4">
      <w:numFmt w:val="bullet"/>
      <w:lvlText w:val="•"/>
      <w:lvlJc w:val="left"/>
      <w:pPr>
        <w:ind w:left="5857" w:hanging="212"/>
      </w:pPr>
      <w:rPr>
        <w:rFonts w:hint="default"/>
      </w:rPr>
    </w:lvl>
    <w:lvl w:ilvl="7" w:tplc="1D92E206">
      <w:numFmt w:val="bullet"/>
      <w:lvlText w:val="•"/>
      <w:lvlJc w:val="left"/>
      <w:pPr>
        <w:ind w:left="6860" w:hanging="212"/>
      </w:pPr>
      <w:rPr>
        <w:rFonts w:hint="default"/>
      </w:rPr>
    </w:lvl>
    <w:lvl w:ilvl="8" w:tplc="7B8E5B8E">
      <w:numFmt w:val="bullet"/>
      <w:lvlText w:val="•"/>
      <w:lvlJc w:val="left"/>
      <w:pPr>
        <w:ind w:left="7864" w:hanging="212"/>
      </w:pPr>
      <w:rPr>
        <w:rFonts w:hint="default"/>
      </w:rPr>
    </w:lvl>
  </w:abstractNum>
  <w:abstractNum w:abstractNumId="2" w15:restartNumberingAfterBreak="0">
    <w:nsid w:val="28BB4B88"/>
    <w:multiLevelType w:val="hybridMultilevel"/>
    <w:tmpl w:val="E7FA13F6"/>
    <w:lvl w:ilvl="0" w:tplc="0409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41867269"/>
    <w:multiLevelType w:val="hybridMultilevel"/>
    <w:tmpl w:val="FEF81D1A"/>
    <w:lvl w:ilvl="0" w:tplc="D22EB65E">
      <w:start w:val="1"/>
      <w:numFmt w:val="bullet"/>
      <w:pStyle w:val="Lis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459C2C57"/>
    <w:multiLevelType w:val="hybridMultilevel"/>
    <w:tmpl w:val="A094C80A"/>
    <w:lvl w:ilvl="0" w:tplc="0C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  <w:w w:val="100"/>
        <w:sz w:val="24"/>
        <w:szCs w:val="24"/>
      </w:rPr>
    </w:lvl>
    <w:lvl w:ilvl="1" w:tplc="DD1621AE">
      <w:numFmt w:val="bullet"/>
      <w:lvlText w:val="○"/>
      <w:lvlJc w:val="left"/>
      <w:pPr>
        <w:ind w:left="784" w:hanging="212"/>
      </w:pPr>
      <w:rPr>
        <w:rFonts w:ascii="Arial" w:eastAsia="Arial" w:hAnsi="Arial" w:cs="Arial" w:hint="default"/>
        <w:w w:val="100"/>
        <w:sz w:val="24"/>
        <w:szCs w:val="24"/>
      </w:rPr>
    </w:lvl>
    <w:lvl w:ilvl="2" w:tplc="675CCD66">
      <w:numFmt w:val="bullet"/>
      <w:lvlText w:val="•"/>
      <w:lvlJc w:val="left"/>
      <w:pPr>
        <w:ind w:left="1843" w:hanging="212"/>
      </w:pPr>
      <w:rPr>
        <w:rFonts w:hint="default"/>
      </w:rPr>
    </w:lvl>
    <w:lvl w:ilvl="3" w:tplc="3F60C402">
      <w:numFmt w:val="bullet"/>
      <w:lvlText w:val="•"/>
      <w:lvlJc w:val="left"/>
      <w:pPr>
        <w:ind w:left="2846" w:hanging="212"/>
      </w:pPr>
      <w:rPr>
        <w:rFonts w:hint="default"/>
      </w:rPr>
    </w:lvl>
    <w:lvl w:ilvl="4" w:tplc="08D8C6AC">
      <w:numFmt w:val="bullet"/>
      <w:lvlText w:val="•"/>
      <w:lvlJc w:val="left"/>
      <w:pPr>
        <w:ind w:left="3850" w:hanging="212"/>
      </w:pPr>
      <w:rPr>
        <w:rFonts w:hint="default"/>
      </w:rPr>
    </w:lvl>
    <w:lvl w:ilvl="5" w:tplc="5998861C">
      <w:numFmt w:val="bullet"/>
      <w:lvlText w:val="•"/>
      <w:lvlJc w:val="left"/>
      <w:pPr>
        <w:ind w:left="4853" w:hanging="212"/>
      </w:pPr>
      <w:rPr>
        <w:rFonts w:hint="default"/>
      </w:rPr>
    </w:lvl>
    <w:lvl w:ilvl="6" w:tplc="3EF6BBF4">
      <w:numFmt w:val="bullet"/>
      <w:lvlText w:val="•"/>
      <w:lvlJc w:val="left"/>
      <w:pPr>
        <w:ind w:left="5857" w:hanging="212"/>
      </w:pPr>
      <w:rPr>
        <w:rFonts w:hint="default"/>
      </w:rPr>
    </w:lvl>
    <w:lvl w:ilvl="7" w:tplc="1D92E206">
      <w:numFmt w:val="bullet"/>
      <w:lvlText w:val="•"/>
      <w:lvlJc w:val="left"/>
      <w:pPr>
        <w:ind w:left="6860" w:hanging="212"/>
      </w:pPr>
      <w:rPr>
        <w:rFonts w:hint="default"/>
      </w:rPr>
    </w:lvl>
    <w:lvl w:ilvl="8" w:tplc="7B8E5B8E">
      <w:numFmt w:val="bullet"/>
      <w:lvlText w:val="•"/>
      <w:lvlJc w:val="left"/>
      <w:pPr>
        <w:ind w:left="7864" w:hanging="212"/>
      </w:pPr>
      <w:rPr>
        <w:rFonts w:hint="default"/>
      </w:rPr>
    </w:lvl>
  </w:abstractNum>
  <w:abstractNum w:abstractNumId="5" w15:restartNumberingAfterBreak="0">
    <w:nsid w:val="4E1A0431"/>
    <w:multiLevelType w:val="hybridMultilevel"/>
    <w:tmpl w:val="E0CCA41C"/>
    <w:lvl w:ilvl="0" w:tplc="0C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7F90084C"/>
    <w:multiLevelType w:val="hybridMultilevel"/>
    <w:tmpl w:val="FF3EB720"/>
    <w:lvl w:ilvl="0" w:tplc="C46C12CE">
      <w:start w:val="1"/>
      <w:numFmt w:val="decimal"/>
      <w:lvlText w:val="%1."/>
      <w:lvlJc w:val="left"/>
      <w:pPr>
        <w:ind w:left="932" w:hanging="360"/>
      </w:pPr>
      <w:rPr>
        <w:rFonts w:ascii="Arial" w:eastAsia="Arial" w:hAnsi="Arial" w:cs="Arial" w:hint="default"/>
        <w:spacing w:val="-5"/>
        <w:w w:val="98"/>
        <w:sz w:val="24"/>
        <w:szCs w:val="24"/>
      </w:rPr>
    </w:lvl>
    <w:lvl w:ilvl="1" w:tplc="E59C3116">
      <w:numFmt w:val="bullet"/>
      <w:lvlText w:val="•"/>
      <w:lvlJc w:val="left"/>
      <w:pPr>
        <w:ind w:left="1843" w:hanging="360"/>
      </w:pPr>
      <w:rPr>
        <w:rFonts w:hint="default"/>
      </w:rPr>
    </w:lvl>
    <w:lvl w:ilvl="2" w:tplc="A68E2058">
      <w:numFmt w:val="bullet"/>
      <w:lvlText w:val="•"/>
      <w:lvlJc w:val="left"/>
      <w:pPr>
        <w:ind w:left="2746" w:hanging="360"/>
      </w:pPr>
      <w:rPr>
        <w:rFonts w:hint="default"/>
      </w:rPr>
    </w:lvl>
    <w:lvl w:ilvl="3" w:tplc="14B60EB8">
      <w:numFmt w:val="bullet"/>
      <w:lvlText w:val="•"/>
      <w:lvlJc w:val="left"/>
      <w:pPr>
        <w:ind w:left="3649" w:hanging="360"/>
      </w:pPr>
      <w:rPr>
        <w:rFonts w:hint="default"/>
      </w:rPr>
    </w:lvl>
    <w:lvl w:ilvl="4" w:tplc="E536CEF4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EE0826F4">
      <w:numFmt w:val="bullet"/>
      <w:lvlText w:val="•"/>
      <w:lvlJc w:val="left"/>
      <w:pPr>
        <w:ind w:left="5455" w:hanging="360"/>
      </w:pPr>
      <w:rPr>
        <w:rFonts w:hint="default"/>
      </w:rPr>
    </w:lvl>
    <w:lvl w:ilvl="6" w:tplc="E2743C48">
      <w:numFmt w:val="bullet"/>
      <w:lvlText w:val="•"/>
      <w:lvlJc w:val="left"/>
      <w:pPr>
        <w:ind w:left="6358" w:hanging="360"/>
      </w:pPr>
      <w:rPr>
        <w:rFonts w:hint="default"/>
      </w:rPr>
    </w:lvl>
    <w:lvl w:ilvl="7" w:tplc="F514931A">
      <w:numFmt w:val="bullet"/>
      <w:lvlText w:val="•"/>
      <w:lvlJc w:val="left"/>
      <w:pPr>
        <w:ind w:left="7261" w:hanging="360"/>
      </w:pPr>
      <w:rPr>
        <w:rFonts w:hint="default"/>
      </w:rPr>
    </w:lvl>
    <w:lvl w:ilvl="8" w:tplc="DEB0B6E0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194"/>
    <w:rsid w:val="00011DCD"/>
    <w:rsid w:val="000A4B07"/>
    <w:rsid w:val="00107BA2"/>
    <w:rsid w:val="001B465E"/>
    <w:rsid w:val="001B5D8F"/>
    <w:rsid w:val="00204A69"/>
    <w:rsid w:val="00252398"/>
    <w:rsid w:val="00252648"/>
    <w:rsid w:val="00277297"/>
    <w:rsid w:val="002B29A7"/>
    <w:rsid w:val="002D7CA2"/>
    <w:rsid w:val="00366F8F"/>
    <w:rsid w:val="003A50CC"/>
    <w:rsid w:val="003B71FC"/>
    <w:rsid w:val="003C5AD8"/>
    <w:rsid w:val="00411719"/>
    <w:rsid w:val="00466386"/>
    <w:rsid w:val="004F26D6"/>
    <w:rsid w:val="00517032"/>
    <w:rsid w:val="00527B2D"/>
    <w:rsid w:val="00590F15"/>
    <w:rsid w:val="005E4704"/>
    <w:rsid w:val="00606849"/>
    <w:rsid w:val="006825E8"/>
    <w:rsid w:val="00687F02"/>
    <w:rsid w:val="006F35C5"/>
    <w:rsid w:val="00706A6B"/>
    <w:rsid w:val="00771853"/>
    <w:rsid w:val="007E2A65"/>
    <w:rsid w:val="00801D3B"/>
    <w:rsid w:val="008A493A"/>
    <w:rsid w:val="008E6BBD"/>
    <w:rsid w:val="00930FE5"/>
    <w:rsid w:val="009B6D5F"/>
    <w:rsid w:val="00AA1385"/>
    <w:rsid w:val="00AC75D9"/>
    <w:rsid w:val="00AF1757"/>
    <w:rsid w:val="00B3663C"/>
    <w:rsid w:val="00B624E6"/>
    <w:rsid w:val="00B9033C"/>
    <w:rsid w:val="00BD0EB2"/>
    <w:rsid w:val="00BE2225"/>
    <w:rsid w:val="00BF2366"/>
    <w:rsid w:val="00C02B85"/>
    <w:rsid w:val="00C87D26"/>
    <w:rsid w:val="00CB3EEC"/>
    <w:rsid w:val="00CF3ACB"/>
    <w:rsid w:val="00D33194"/>
    <w:rsid w:val="00D9505D"/>
    <w:rsid w:val="00F12E2A"/>
    <w:rsid w:val="00F20BE5"/>
    <w:rsid w:val="00F45BA4"/>
    <w:rsid w:val="00F93942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1F09"/>
  <w15:docId w15:val="{B008E904-3BC4-8D4D-AE9B-F153F2B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12E2A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D33194"/>
    <w:pPr>
      <w:ind w:left="119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33194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33194"/>
  </w:style>
  <w:style w:type="character" w:customStyle="1" w:styleId="BodyTextChar">
    <w:name w:val="Body Text Char"/>
    <w:basedOn w:val="DefaultParagraphFont"/>
    <w:link w:val="BodyText"/>
    <w:uiPriority w:val="1"/>
    <w:rsid w:val="00D33194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D33194"/>
    <w:pPr>
      <w:ind w:left="840" w:hanging="360"/>
    </w:pPr>
    <w:rPr>
      <w:rFonts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D33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94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D33194"/>
    <w:pPr>
      <w:ind w:left="-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96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49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3A"/>
    <w:rPr>
      <w:rFonts w:ascii="Arial" w:eastAsia="Calibri" w:hAnsi="Arial" w:cs="Calibri"/>
      <w:sz w:val="20"/>
      <w:lang w:val="en-US"/>
    </w:rPr>
  </w:style>
  <w:style w:type="paragraph" w:customStyle="1" w:styleId="Heading10">
    <w:name w:val=".Heading 1"/>
    <w:basedOn w:val="Normal"/>
    <w:uiPriority w:val="1"/>
    <w:qFormat/>
    <w:rsid w:val="00B3663C"/>
    <w:pPr>
      <w:spacing w:before="240" w:after="80" w:line="276" w:lineRule="auto"/>
    </w:pPr>
    <w:rPr>
      <w:rFonts w:cs="Arial"/>
      <w:b/>
      <w:sz w:val="28"/>
      <w:szCs w:val="26"/>
    </w:rPr>
  </w:style>
  <w:style w:type="paragraph" w:customStyle="1" w:styleId="Body">
    <w:name w:val=".Body"/>
    <w:basedOn w:val="Normal"/>
    <w:uiPriority w:val="1"/>
    <w:qFormat/>
    <w:rsid w:val="00801D3B"/>
    <w:pPr>
      <w:spacing w:after="160" w:line="300" w:lineRule="auto"/>
    </w:pPr>
    <w:rPr>
      <w:rFonts w:cs="Arial"/>
      <w:szCs w:val="20"/>
    </w:rPr>
  </w:style>
  <w:style w:type="paragraph" w:customStyle="1" w:styleId="Heading2">
    <w:name w:val=".Heading 2"/>
    <w:basedOn w:val="Normal"/>
    <w:uiPriority w:val="1"/>
    <w:qFormat/>
    <w:rsid w:val="00B3663C"/>
    <w:pPr>
      <w:spacing w:before="200" w:line="276" w:lineRule="auto"/>
    </w:pPr>
    <w:rPr>
      <w:rFonts w:cs="Arial"/>
      <w:b/>
      <w:i/>
      <w:sz w:val="22"/>
      <w:szCs w:val="20"/>
    </w:rPr>
  </w:style>
  <w:style w:type="paragraph" w:customStyle="1" w:styleId="List">
    <w:name w:val=".List"/>
    <w:basedOn w:val="ListParagraph"/>
    <w:uiPriority w:val="1"/>
    <w:qFormat/>
    <w:rsid w:val="00B3663C"/>
    <w:pPr>
      <w:numPr>
        <w:numId w:val="1"/>
      </w:numPr>
      <w:spacing w:after="160" w:line="276" w:lineRule="auto"/>
      <w:ind w:left="284" w:hanging="284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26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2526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52648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252648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252648"/>
    <w:pPr>
      <w:keepNext/>
      <w:keepLines/>
      <w:widowControl/>
      <w:autoSpaceDE/>
      <w:autoSpaceDN/>
      <w:spacing w:before="12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252648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6520-2239-BD48-BD46-776F40BC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 Template</vt:lpstr>
    </vt:vector>
  </TitlesOfParts>
  <Company>Catholic Education Office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of Interest Policy Template</dc:title>
  <dc:creator>Kelly, Natasha</dc:creator>
  <cp:keywords>Conflict of Interest Policy Template</cp:keywords>
  <cp:lastModifiedBy>Helen Harries</cp:lastModifiedBy>
  <cp:revision>6</cp:revision>
  <dcterms:created xsi:type="dcterms:W3CDTF">2023-05-06T13:03:00Z</dcterms:created>
  <dcterms:modified xsi:type="dcterms:W3CDTF">2023-05-09T16:01:00Z</dcterms:modified>
</cp:coreProperties>
</file>